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0700" w14:textId="77777777" w:rsidR="00B03688" w:rsidRDefault="00047F02" w:rsidP="00B03688">
      <w:pPr>
        <w:pStyle w:val="Kop1"/>
        <w:numPr>
          <w:ilvl w:val="0"/>
          <w:numId w:val="0"/>
        </w:numPr>
        <w:ind w:left="1701" w:hanging="1701"/>
      </w:pPr>
      <w:bookmarkStart w:id="0" w:name="_Toc456785563"/>
      <w:bookmarkStart w:id="1" w:name="_Toc479080273"/>
      <w:r>
        <w:t xml:space="preserve">Programma van eisen </w:t>
      </w:r>
      <w:r w:rsidRPr="00884ECA">
        <w:t>PV</w:t>
      </w:r>
      <w:r>
        <w:t>-</w:t>
      </w:r>
      <w:r w:rsidRPr="00884ECA">
        <w:t>Panelen</w:t>
      </w:r>
      <w:bookmarkEnd w:id="0"/>
      <w:bookmarkEnd w:id="1"/>
      <w:r w:rsidR="00B03688">
        <w:t xml:space="preserve"> bij nieuwbouw</w:t>
      </w:r>
      <w:r w:rsidR="00AA53A6">
        <w:t>/renovatie</w:t>
      </w:r>
      <w:r w:rsidR="00DA2F26">
        <w:t>, een voorzet</w:t>
      </w:r>
    </w:p>
    <w:p w14:paraId="10455AE0" w14:textId="1BF069D8" w:rsidR="00B03688" w:rsidRPr="00223935" w:rsidRDefault="00B03688" w:rsidP="00047F02">
      <w:pPr>
        <w:rPr>
          <w:rFonts w:cs="Arial"/>
          <w:sz w:val="18"/>
          <w:szCs w:val="18"/>
        </w:rPr>
      </w:pPr>
      <w:r>
        <w:rPr>
          <w:rFonts w:cs="Arial"/>
          <w:sz w:val="18"/>
          <w:szCs w:val="18"/>
        </w:rPr>
        <w:t>Maarten Corpeleijn (</w:t>
      </w:r>
      <w:hyperlink r:id="rId8" w:history="1">
        <w:r w:rsidRPr="00FE5867">
          <w:rPr>
            <w:rStyle w:val="Hyperlink"/>
            <w:rFonts w:cs="Arial"/>
            <w:sz w:val="18"/>
            <w:szCs w:val="18"/>
          </w:rPr>
          <w:t>www.zonnighuren.nl</w:t>
        </w:r>
      </w:hyperlink>
      <w:r>
        <w:rPr>
          <w:rFonts w:cs="Arial"/>
          <w:sz w:val="18"/>
          <w:szCs w:val="18"/>
        </w:rPr>
        <w:t>)</w:t>
      </w:r>
      <w:r w:rsidR="002071E4">
        <w:rPr>
          <w:rFonts w:cs="Arial"/>
          <w:sz w:val="18"/>
          <w:szCs w:val="18"/>
        </w:rPr>
        <w:t xml:space="preserve">. </w:t>
      </w:r>
      <w:r w:rsidR="009D4C9D">
        <w:rPr>
          <w:rFonts w:cs="Arial"/>
          <w:sz w:val="18"/>
          <w:szCs w:val="18"/>
        </w:rPr>
        <w:t>september 2019</w:t>
      </w:r>
    </w:p>
    <w:p w14:paraId="69D4192A" w14:textId="1B8F58BD" w:rsidR="00CB7066" w:rsidRDefault="00CB7066">
      <w:pPr>
        <w:spacing w:after="160" w:line="259" w:lineRule="auto"/>
        <w:jc w:val="left"/>
        <w:rPr>
          <w:rFonts w:cs="Arial"/>
          <w:b/>
          <w:sz w:val="18"/>
          <w:szCs w:val="18"/>
        </w:rPr>
      </w:pPr>
    </w:p>
    <w:p w14:paraId="217C14D8" w14:textId="77777777" w:rsidR="00047F02" w:rsidRPr="00223935" w:rsidRDefault="00047F02" w:rsidP="00047F02">
      <w:pPr>
        <w:rPr>
          <w:rFonts w:cs="Arial"/>
          <w:b/>
          <w:sz w:val="18"/>
          <w:szCs w:val="18"/>
        </w:rPr>
      </w:pPr>
      <w:r w:rsidRPr="00223935">
        <w:rPr>
          <w:rFonts w:cs="Arial"/>
          <w:b/>
          <w:sz w:val="18"/>
          <w:szCs w:val="18"/>
        </w:rPr>
        <w:t>Hoeveel zonne-energie</w:t>
      </w:r>
    </w:p>
    <w:p w14:paraId="303876B0" w14:textId="77777777" w:rsidR="00047F02" w:rsidRPr="00223935" w:rsidRDefault="00047F02" w:rsidP="00047F02">
      <w:pPr>
        <w:rPr>
          <w:rFonts w:cs="Arial"/>
          <w:sz w:val="18"/>
          <w:szCs w:val="18"/>
        </w:rPr>
      </w:pPr>
      <w:r w:rsidRPr="00223935">
        <w:rPr>
          <w:rFonts w:cs="Arial"/>
          <w:sz w:val="18"/>
          <w:szCs w:val="18"/>
        </w:rPr>
        <w:t xml:space="preserve">Bij appartementen: i.v.m. de omvang van het verbruik op de collectieve meter (vaak ver boven 10.000 kwh) zijn de besparingen in euro per kWh voor de collectieve meter vaak laag. Derhalve kiest </w:t>
      </w:r>
      <w:r w:rsidR="00B03688">
        <w:rPr>
          <w:rFonts w:cs="Arial"/>
          <w:sz w:val="18"/>
          <w:szCs w:val="18"/>
        </w:rPr>
        <w:t>Opdrachtgever</w:t>
      </w:r>
      <w:r w:rsidRPr="00223935">
        <w:rPr>
          <w:rFonts w:cs="Arial"/>
          <w:sz w:val="18"/>
          <w:szCs w:val="18"/>
        </w:rPr>
        <w:t xml:space="preserve"> voor aansluiten op de individuele meters van appartementen. </w:t>
      </w:r>
      <w:r w:rsidR="00917661">
        <w:rPr>
          <w:rFonts w:cs="Arial"/>
          <w:sz w:val="18"/>
          <w:szCs w:val="18"/>
        </w:rPr>
        <w:t>Uitzondering kan zijn wanneer een SDE+-toekenning verkregen kan worden</w:t>
      </w:r>
      <w:r w:rsidR="00B03688">
        <w:rPr>
          <w:rFonts w:cs="Arial"/>
          <w:sz w:val="18"/>
          <w:szCs w:val="18"/>
        </w:rPr>
        <w:t xml:space="preserve"> op de collectieve meter</w:t>
      </w:r>
      <w:r w:rsidR="00917661">
        <w:rPr>
          <w:rFonts w:cs="Arial"/>
          <w:sz w:val="18"/>
          <w:szCs w:val="18"/>
        </w:rPr>
        <w:t>.</w:t>
      </w:r>
    </w:p>
    <w:p w14:paraId="012E1E13" w14:textId="77777777" w:rsidR="00047F02" w:rsidRPr="00223935" w:rsidRDefault="00047F02" w:rsidP="00047F02">
      <w:pPr>
        <w:rPr>
          <w:rFonts w:cs="Arial"/>
          <w:sz w:val="18"/>
          <w:szCs w:val="18"/>
        </w:rPr>
      </w:pPr>
      <w:r w:rsidRPr="00223935">
        <w:rPr>
          <w:rFonts w:cs="Arial"/>
          <w:sz w:val="18"/>
          <w:szCs w:val="18"/>
        </w:rPr>
        <w:t>Uitgangspunt is bij eengezinswoningen en appartementen:</w:t>
      </w:r>
    </w:p>
    <w:p w14:paraId="6144741A" w14:textId="77777777" w:rsidR="00047F02" w:rsidRPr="00223935" w:rsidRDefault="00047F02" w:rsidP="00047F02">
      <w:pPr>
        <w:rPr>
          <w:rFonts w:cs="Arial"/>
          <w:sz w:val="18"/>
          <w:szCs w:val="18"/>
        </w:rPr>
      </w:pPr>
      <w:r w:rsidRPr="00223935">
        <w:rPr>
          <w:rFonts w:cs="Arial"/>
          <w:sz w:val="18"/>
          <w:szCs w:val="18"/>
        </w:rPr>
        <w:t xml:space="preserve">Bij conventioneel met gas: </w:t>
      </w:r>
      <w:r w:rsidR="00F258B6">
        <w:rPr>
          <w:rFonts w:cs="Arial"/>
          <w:sz w:val="18"/>
          <w:szCs w:val="18"/>
        </w:rPr>
        <w:t>3</w:t>
      </w:r>
      <w:r w:rsidRPr="00223935">
        <w:rPr>
          <w:rFonts w:cs="Arial"/>
          <w:sz w:val="18"/>
          <w:szCs w:val="18"/>
        </w:rPr>
        <w:t xml:space="preserve">.000 wattpiek per eengezinswoning/appartement, tenzij duidelijk is dat de doelgroep een veel lager jaarverbruik heeft dan </w:t>
      </w:r>
      <w:r w:rsidR="00F258B6">
        <w:rPr>
          <w:rFonts w:cs="Arial"/>
          <w:sz w:val="18"/>
          <w:szCs w:val="18"/>
        </w:rPr>
        <w:t>2</w:t>
      </w:r>
      <w:r w:rsidRPr="00223935">
        <w:rPr>
          <w:rFonts w:cs="Arial"/>
          <w:sz w:val="18"/>
          <w:szCs w:val="18"/>
        </w:rPr>
        <w:t>.500 kwh per jaar.</w:t>
      </w:r>
    </w:p>
    <w:p w14:paraId="1A26E1F0" w14:textId="77777777" w:rsidR="00047F02" w:rsidRPr="00223935" w:rsidRDefault="00047F02" w:rsidP="00047F02">
      <w:pPr>
        <w:rPr>
          <w:rFonts w:cs="Arial"/>
          <w:sz w:val="18"/>
          <w:szCs w:val="18"/>
        </w:rPr>
      </w:pPr>
      <w:r w:rsidRPr="00223935">
        <w:rPr>
          <w:rFonts w:cs="Arial"/>
          <w:sz w:val="18"/>
          <w:szCs w:val="18"/>
        </w:rPr>
        <w:t xml:space="preserve">Bij </w:t>
      </w:r>
      <w:proofErr w:type="spellStart"/>
      <w:r w:rsidRPr="00223935">
        <w:rPr>
          <w:rFonts w:cs="Arial"/>
          <w:sz w:val="18"/>
          <w:szCs w:val="18"/>
        </w:rPr>
        <w:t>all-electric</w:t>
      </w:r>
      <w:proofErr w:type="spellEnd"/>
      <w:r w:rsidRPr="00223935">
        <w:rPr>
          <w:rFonts w:cs="Arial"/>
          <w:sz w:val="18"/>
          <w:szCs w:val="18"/>
        </w:rPr>
        <w:t xml:space="preserve">: het hele dak benutten teneinde </w:t>
      </w:r>
      <w:r w:rsidR="00B03688">
        <w:rPr>
          <w:rFonts w:cs="Arial"/>
          <w:sz w:val="18"/>
          <w:szCs w:val="18"/>
        </w:rPr>
        <w:t xml:space="preserve">een groot deel van </w:t>
      </w:r>
      <w:r w:rsidRPr="00223935">
        <w:rPr>
          <w:rFonts w:cs="Arial"/>
          <w:sz w:val="18"/>
          <w:szCs w:val="18"/>
        </w:rPr>
        <w:t>de elektravraag te voorzien met pv-panelen.</w:t>
      </w:r>
    </w:p>
    <w:p w14:paraId="60B686FB" w14:textId="77777777" w:rsidR="00047F02" w:rsidRPr="00223935" w:rsidRDefault="00047F02" w:rsidP="00047F02">
      <w:pPr>
        <w:rPr>
          <w:rFonts w:cs="Arial"/>
          <w:sz w:val="18"/>
          <w:szCs w:val="18"/>
        </w:rPr>
      </w:pPr>
    </w:p>
    <w:p w14:paraId="5565405F" w14:textId="77777777" w:rsidR="00047F02" w:rsidRPr="00223935" w:rsidRDefault="00047F02" w:rsidP="00047F02">
      <w:pPr>
        <w:rPr>
          <w:rFonts w:cs="Arial"/>
          <w:b/>
          <w:sz w:val="18"/>
          <w:szCs w:val="18"/>
        </w:rPr>
      </w:pPr>
      <w:r w:rsidRPr="00223935">
        <w:rPr>
          <w:rFonts w:cs="Arial"/>
          <w:b/>
          <w:sz w:val="18"/>
          <w:szCs w:val="18"/>
        </w:rPr>
        <w:t>Inpassing op het platte dak:</w:t>
      </w:r>
    </w:p>
    <w:p w14:paraId="286359A6" w14:textId="77777777" w:rsidR="00047F02" w:rsidRPr="00223935" w:rsidRDefault="00047F02" w:rsidP="00047F02">
      <w:pPr>
        <w:rPr>
          <w:rFonts w:cs="Arial"/>
          <w:sz w:val="18"/>
          <w:szCs w:val="18"/>
        </w:rPr>
      </w:pPr>
      <w:r w:rsidRPr="00223935">
        <w:rPr>
          <w:rFonts w:cs="Arial"/>
          <w:sz w:val="18"/>
          <w:szCs w:val="18"/>
        </w:rPr>
        <w:t xml:space="preserve">minimale hellingshoek 12 graden, met maximale schaduwhoek van 22 graden.  Bij een systeem als </w:t>
      </w:r>
      <w:proofErr w:type="spellStart"/>
      <w:r w:rsidRPr="00223935">
        <w:rPr>
          <w:rFonts w:cs="Arial"/>
          <w:sz w:val="18"/>
          <w:szCs w:val="18"/>
        </w:rPr>
        <w:t>sunbeam</w:t>
      </w:r>
      <w:proofErr w:type="spellEnd"/>
      <w:r w:rsidRPr="00223935">
        <w:rPr>
          <w:rFonts w:cs="Arial"/>
          <w:sz w:val="18"/>
          <w:szCs w:val="18"/>
        </w:rPr>
        <w:t xml:space="preserve"> nova komt dit neer op een rij-afstand van 1500 mm.</w:t>
      </w:r>
    </w:p>
    <w:p w14:paraId="067306AE" w14:textId="77777777" w:rsidR="00047F02" w:rsidRPr="00223935" w:rsidRDefault="00047F02" w:rsidP="00047F02">
      <w:pPr>
        <w:rPr>
          <w:rFonts w:cs="Arial"/>
          <w:sz w:val="18"/>
          <w:szCs w:val="18"/>
        </w:rPr>
      </w:pPr>
      <w:r w:rsidRPr="00223935">
        <w:rPr>
          <w:rFonts w:cs="Arial"/>
          <w:sz w:val="18"/>
          <w:szCs w:val="18"/>
        </w:rPr>
        <w:t>Indien het gewenste vermogen niet past op het dak maakt Verkoper voor zijn rekening gebruik van:</w:t>
      </w:r>
    </w:p>
    <w:p w14:paraId="05D3FEBB" w14:textId="77777777" w:rsidR="00047F02" w:rsidRPr="009932F8" w:rsidRDefault="00047F02" w:rsidP="009932F8">
      <w:pPr>
        <w:pStyle w:val="Lijstalinea"/>
        <w:numPr>
          <w:ilvl w:val="0"/>
          <w:numId w:val="2"/>
        </w:numPr>
        <w:rPr>
          <w:rFonts w:cs="Arial"/>
          <w:sz w:val="18"/>
          <w:szCs w:val="18"/>
        </w:rPr>
      </w:pPr>
      <w:r w:rsidRPr="009932F8">
        <w:rPr>
          <w:rFonts w:cs="Arial"/>
          <w:sz w:val="18"/>
          <w:szCs w:val="18"/>
        </w:rPr>
        <w:t>schansen (2 tot 3 panelen boven elkaar)</w:t>
      </w:r>
    </w:p>
    <w:p w14:paraId="30E00448" w14:textId="77777777" w:rsidR="00047F02" w:rsidRPr="009932F8" w:rsidRDefault="00047F02" w:rsidP="009932F8">
      <w:pPr>
        <w:pStyle w:val="Lijstalinea"/>
        <w:numPr>
          <w:ilvl w:val="0"/>
          <w:numId w:val="2"/>
        </w:numPr>
        <w:rPr>
          <w:rFonts w:cs="Arial"/>
          <w:sz w:val="18"/>
          <w:szCs w:val="18"/>
        </w:rPr>
      </w:pPr>
      <w:r w:rsidRPr="009932F8">
        <w:rPr>
          <w:rFonts w:cs="Arial"/>
          <w:sz w:val="18"/>
          <w:szCs w:val="18"/>
        </w:rPr>
        <w:t>oost-west-plaatsing is toegestaan indien het meest noordelijke zonnepaneel maximaal 150 graden t.o.v. het zuiden ligt bij een hellingshoek van maximaal 20 graden.</w:t>
      </w:r>
    </w:p>
    <w:p w14:paraId="1D11086A" w14:textId="77777777" w:rsidR="00047F02" w:rsidRPr="009932F8" w:rsidRDefault="00047F02" w:rsidP="009932F8">
      <w:pPr>
        <w:pStyle w:val="Lijstalinea"/>
        <w:numPr>
          <w:ilvl w:val="0"/>
          <w:numId w:val="2"/>
        </w:numPr>
        <w:rPr>
          <w:rFonts w:cs="Arial"/>
          <w:sz w:val="18"/>
          <w:szCs w:val="18"/>
        </w:rPr>
      </w:pPr>
      <w:r w:rsidRPr="009932F8">
        <w:rPr>
          <w:rFonts w:cs="Arial"/>
          <w:sz w:val="18"/>
          <w:szCs w:val="18"/>
        </w:rPr>
        <w:t>als het gewenst vermogen nog steeds niet past: gebruik maken van panelen met een vermogen van 3</w:t>
      </w:r>
      <w:r w:rsidR="00B03688">
        <w:rPr>
          <w:rFonts w:cs="Arial"/>
          <w:sz w:val="18"/>
          <w:szCs w:val="18"/>
        </w:rPr>
        <w:t>20</w:t>
      </w:r>
      <w:r w:rsidRPr="009932F8">
        <w:rPr>
          <w:rFonts w:cs="Arial"/>
          <w:sz w:val="18"/>
          <w:szCs w:val="18"/>
        </w:rPr>
        <w:t xml:space="preserve"> wattpiek per paneel of meer.</w:t>
      </w:r>
    </w:p>
    <w:p w14:paraId="317C7E36" w14:textId="77777777" w:rsidR="00047F02" w:rsidRPr="00223935" w:rsidRDefault="00047F02" w:rsidP="00047F02">
      <w:pPr>
        <w:rPr>
          <w:rFonts w:cs="Arial"/>
          <w:sz w:val="18"/>
          <w:szCs w:val="18"/>
        </w:rPr>
      </w:pPr>
      <w:r w:rsidRPr="00223935">
        <w:rPr>
          <w:rFonts w:cs="Arial"/>
          <w:sz w:val="18"/>
          <w:szCs w:val="18"/>
        </w:rPr>
        <w:t xml:space="preserve">Verkoper maakt een </w:t>
      </w:r>
      <w:proofErr w:type="spellStart"/>
      <w:r w:rsidRPr="00223935">
        <w:rPr>
          <w:rFonts w:cs="Arial"/>
          <w:sz w:val="18"/>
          <w:szCs w:val="18"/>
        </w:rPr>
        <w:t>daktekening</w:t>
      </w:r>
      <w:proofErr w:type="spellEnd"/>
      <w:r w:rsidRPr="00223935">
        <w:rPr>
          <w:rFonts w:cs="Arial"/>
          <w:sz w:val="18"/>
          <w:szCs w:val="18"/>
        </w:rPr>
        <w:t xml:space="preserve"> ter goedkeuring door </w:t>
      </w:r>
      <w:r w:rsidR="00B03688">
        <w:rPr>
          <w:rFonts w:cs="Arial"/>
          <w:sz w:val="18"/>
          <w:szCs w:val="18"/>
        </w:rPr>
        <w:t>Opdrachtgever</w:t>
      </w:r>
      <w:r w:rsidRPr="00223935">
        <w:rPr>
          <w:rFonts w:cs="Arial"/>
          <w:sz w:val="18"/>
          <w:szCs w:val="18"/>
        </w:rPr>
        <w:t xml:space="preserve">, met goede intekening van </w:t>
      </w:r>
      <w:proofErr w:type="spellStart"/>
      <w:r w:rsidRPr="00223935">
        <w:rPr>
          <w:rFonts w:cs="Arial"/>
          <w:sz w:val="18"/>
          <w:szCs w:val="18"/>
        </w:rPr>
        <w:t>schaduwgevende</w:t>
      </w:r>
      <w:proofErr w:type="spellEnd"/>
      <w:r w:rsidRPr="00223935">
        <w:rPr>
          <w:rFonts w:cs="Arial"/>
          <w:sz w:val="18"/>
          <w:szCs w:val="18"/>
        </w:rPr>
        <w:t xml:space="preserve"> obstakels (dakrand, schoorstenen, liftopbouw e.d.), </w:t>
      </w:r>
      <w:r w:rsidR="00AA1250">
        <w:rPr>
          <w:rFonts w:cs="Arial"/>
          <w:sz w:val="18"/>
          <w:szCs w:val="18"/>
        </w:rPr>
        <w:t xml:space="preserve">relatie met valbeveiligingsinstallatie en looppaden, </w:t>
      </w:r>
      <w:r w:rsidRPr="00223935">
        <w:rPr>
          <w:rFonts w:cs="Arial"/>
          <w:sz w:val="18"/>
          <w:szCs w:val="18"/>
        </w:rPr>
        <w:t>een opbrengstprognose (kwh per kwp) o.b.v. een onafhankelijk programma (pv-gis of vergelijkbaar) en windbelasting- en ballastberekeningen. Uitgangspunt is een geprognosticeerde opbrengst van minimaal 800 kwh per kwp.</w:t>
      </w:r>
    </w:p>
    <w:p w14:paraId="10029DD6" w14:textId="77777777" w:rsidR="00047F02" w:rsidRPr="00223935" w:rsidRDefault="00047F02" w:rsidP="00047F02">
      <w:pPr>
        <w:rPr>
          <w:rFonts w:cs="Arial"/>
          <w:sz w:val="18"/>
          <w:szCs w:val="18"/>
        </w:rPr>
      </w:pPr>
    </w:p>
    <w:p w14:paraId="4F6DC168" w14:textId="77777777" w:rsidR="00047F02" w:rsidRPr="00223935" w:rsidRDefault="00047F02" w:rsidP="00047F02">
      <w:pPr>
        <w:rPr>
          <w:rFonts w:cs="Arial"/>
          <w:b/>
          <w:sz w:val="18"/>
          <w:szCs w:val="18"/>
        </w:rPr>
      </w:pPr>
      <w:r w:rsidRPr="00223935">
        <w:rPr>
          <w:rFonts w:cs="Arial"/>
          <w:b/>
          <w:sz w:val="18"/>
          <w:szCs w:val="18"/>
        </w:rPr>
        <w:t>Inpassing op het schuine dak:</w:t>
      </w:r>
    </w:p>
    <w:p w14:paraId="40A18221" w14:textId="77777777" w:rsidR="00047F02" w:rsidRPr="00223935" w:rsidRDefault="00047F02" w:rsidP="00047F02">
      <w:pPr>
        <w:rPr>
          <w:rFonts w:cs="Arial"/>
          <w:sz w:val="18"/>
          <w:szCs w:val="18"/>
        </w:rPr>
      </w:pPr>
      <w:r w:rsidRPr="00223935">
        <w:rPr>
          <w:rFonts w:cs="Arial"/>
          <w:sz w:val="18"/>
          <w:szCs w:val="18"/>
        </w:rPr>
        <w:t>Panelen plaatsen op het dakvlak met de meest zuidelijke oriëntatie. Plaatsing op beide dak</w:t>
      </w:r>
      <w:r w:rsidR="00AA1250">
        <w:rPr>
          <w:rFonts w:cs="Arial"/>
          <w:sz w:val="18"/>
          <w:szCs w:val="18"/>
        </w:rPr>
        <w:t>vlakken</w:t>
      </w:r>
      <w:r w:rsidRPr="00223935">
        <w:rPr>
          <w:rFonts w:cs="Arial"/>
          <w:sz w:val="18"/>
          <w:szCs w:val="18"/>
        </w:rPr>
        <w:t xml:space="preserve"> is toegestaan op daken met een helling van maximaal 30 graden, waarbij het noordelijke dakvlak maximaal 120 graden t.o.v. het zuiden ligt (oost-noord-oost of west-noord-west).</w:t>
      </w:r>
    </w:p>
    <w:p w14:paraId="0F0A138B" w14:textId="77777777" w:rsidR="00047F02" w:rsidRPr="00223935" w:rsidRDefault="00F258B6" w:rsidP="00047F02">
      <w:pPr>
        <w:rPr>
          <w:rFonts w:cs="Arial"/>
          <w:sz w:val="18"/>
          <w:szCs w:val="18"/>
        </w:rPr>
      </w:pPr>
      <w:r>
        <w:rPr>
          <w:rFonts w:cs="Arial"/>
          <w:sz w:val="18"/>
          <w:szCs w:val="18"/>
        </w:rPr>
        <w:t>G</w:t>
      </w:r>
      <w:r w:rsidR="00047F02" w:rsidRPr="00223935">
        <w:rPr>
          <w:rFonts w:cs="Arial"/>
          <w:sz w:val="18"/>
          <w:szCs w:val="18"/>
        </w:rPr>
        <w:t xml:space="preserve">ebruik van </w:t>
      </w:r>
      <w:proofErr w:type="spellStart"/>
      <w:r w:rsidR="00047F02" w:rsidRPr="00223935">
        <w:rPr>
          <w:rFonts w:cs="Arial"/>
          <w:sz w:val="18"/>
          <w:szCs w:val="18"/>
        </w:rPr>
        <w:t>all</w:t>
      </w:r>
      <w:proofErr w:type="spellEnd"/>
      <w:r w:rsidR="00047F02" w:rsidRPr="00223935">
        <w:rPr>
          <w:rFonts w:cs="Arial"/>
          <w:sz w:val="18"/>
          <w:szCs w:val="18"/>
        </w:rPr>
        <w:t xml:space="preserve">-blackpanelen (monokristallijn) met zwarte </w:t>
      </w:r>
      <w:r w:rsidR="00AA1250">
        <w:rPr>
          <w:rFonts w:cs="Arial"/>
          <w:sz w:val="18"/>
          <w:szCs w:val="18"/>
        </w:rPr>
        <w:t xml:space="preserve">backsheet en zwarte </w:t>
      </w:r>
      <w:r w:rsidR="00047F02" w:rsidRPr="00223935">
        <w:rPr>
          <w:rFonts w:cs="Arial"/>
          <w:sz w:val="18"/>
          <w:szCs w:val="18"/>
        </w:rPr>
        <w:t>eindkappen verplicht.</w:t>
      </w:r>
    </w:p>
    <w:p w14:paraId="109C7006" w14:textId="77777777" w:rsidR="00737724" w:rsidRDefault="00F258B6" w:rsidP="00047F02">
      <w:pPr>
        <w:rPr>
          <w:rFonts w:cs="Arial"/>
          <w:sz w:val="18"/>
          <w:szCs w:val="18"/>
        </w:rPr>
      </w:pPr>
      <w:r>
        <w:rPr>
          <w:rFonts w:cs="Arial"/>
          <w:sz w:val="18"/>
          <w:szCs w:val="18"/>
        </w:rPr>
        <w:t>Bij v</w:t>
      </w:r>
      <w:r w:rsidR="00047F02" w:rsidRPr="00223935">
        <w:rPr>
          <w:rFonts w:cs="Arial"/>
          <w:sz w:val="18"/>
          <w:szCs w:val="18"/>
        </w:rPr>
        <w:t>erwerking in het dakvlak als onderdeel van de waterkerende laag</w:t>
      </w:r>
      <w:r>
        <w:rPr>
          <w:rFonts w:cs="Arial"/>
          <w:sz w:val="18"/>
          <w:szCs w:val="18"/>
        </w:rPr>
        <w:t xml:space="preserve"> dient speciale aandacht te worden gegeven aan ventilatiemogelijkheden en </w:t>
      </w:r>
      <w:r w:rsidR="00737724">
        <w:rPr>
          <w:rFonts w:cs="Arial"/>
          <w:sz w:val="18"/>
          <w:szCs w:val="18"/>
        </w:rPr>
        <w:t>de afscheiding met brandbare materialen (zie rapport TNO in opdracht van RVO april 2019</w:t>
      </w:r>
      <w:r w:rsidR="00737724">
        <w:rPr>
          <w:rStyle w:val="Voetnootmarkering"/>
          <w:rFonts w:cs="Arial"/>
          <w:sz w:val="18"/>
          <w:szCs w:val="18"/>
        </w:rPr>
        <w:footnoteReference w:id="1"/>
      </w:r>
      <w:r w:rsidR="00737724">
        <w:rPr>
          <w:rFonts w:cs="Arial"/>
          <w:sz w:val="18"/>
          <w:szCs w:val="18"/>
        </w:rPr>
        <w:t>)</w:t>
      </w:r>
      <w:r w:rsidR="00047F02" w:rsidRPr="00223935">
        <w:rPr>
          <w:rFonts w:cs="Arial"/>
          <w:sz w:val="18"/>
          <w:szCs w:val="18"/>
        </w:rPr>
        <w:t xml:space="preserve">. </w:t>
      </w:r>
    </w:p>
    <w:p w14:paraId="5C825651" w14:textId="77777777" w:rsidR="00AA1250" w:rsidRPr="00223935" w:rsidRDefault="00047F02" w:rsidP="00047F02">
      <w:pPr>
        <w:rPr>
          <w:rFonts w:cs="Arial"/>
          <w:sz w:val="18"/>
          <w:szCs w:val="18"/>
        </w:rPr>
      </w:pPr>
      <w:r w:rsidRPr="00223935">
        <w:rPr>
          <w:rFonts w:cs="Arial"/>
          <w:sz w:val="18"/>
          <w:szCs w:val="18"/>
        </w:rPr>
        <w:t xml:space="preserve">De vlakverdeling dient esthetisch verantwoord te zijn, ter beoordeling door </w:t>
      </w:r>
      <w:r w:rsidR="00B03688">
        <w:rPr>
          <w:rFonts w:cs="Arial"/>
          <w:sz w:val="18"/>
          <w:szCs w:val="18"/>
        </w:rPr>
        <w:t>Opdrachtgever</w:t>
      </w:r>
      <w:r w:rsidRPr="00223935">
        <w:rPr>
          <w:rFonts w:cs="Arial"/>
          <w:sz w:val="18"/>
          <w:szCs w:val="18"/>
        </w:rPr>
        <w:t>. Met name is van belang dat de zonnepanelen samen één rechthoek vormen, zodat een rustig beeld in de straat ontstaat.</w:t>
      </w:r>
      <w:r w:rsidR="00AA1250">
        <w:rPr>
          <w:rFonts w:cs="Arial"/>
          <w:sz w:val="18"/>
          <w:szCs w:val="18"/>
        </w:rPr>
        <w:t xml:space="preserve"> Voldoende ventilatiemogelijkheden.</w:t>
      </w:r>
    </w:p>
    <w:p w14:paraId="0F364DDA" w14:textId="77777777" w:rsidR="00047F02" w:rsidRPr="00223935" w:rsidRDefault="00047F02" w:rsidP="00047F02">
      <w:pPr>
        <w:rPr>
          <w:rFonts w:cs="Arial"/>
          <w:sz w:val="18"/>
          <w:szCs w:val="18"/>
        </w:rPr>
      </w:pPr>
      <w:r w:rsidRPr="00223935">
        <w:rPr>
          <w:rFonts w:cs="Arial"/>
          <w:sz w:val="18"/>
          <w:szCs w:val="18"/>
        </w:rPr>
        <w:t xml:space="preserve">Indien inpassing in het dak technisch niet mogelijk is: op het dak. </w:t>
      </w:r>
    </w:p>
    <w:p w14:paraId="31BA1B5C" w14:textId="77777777" w:rsidR="001E18CD" w:rsidRDefault="001E18CD">
      <w:pPr>
        <w:spacing w:after="160" w:line="259" w:lineRule="auto"/>
        <w:jc w:val="left"/>
        <w:rPr>
          <w:rFonts w:cs="Arial"/>
          <w:b/>
          <w:sz w:val="18"/>
          <w:szCs w:val="18"/>
        </w:rPr>
      </w:pPr>
      <w:r>
        <w:rPr>
          <w:rFonts w:cs="Arial"/>
          <w:b/>
          <w:sz w:val="18"/>
          <w:szCs w:val="18"/>
        </w:rPr>
        <w:br w:type="page"/>
      </w:r>
    </w:p>
    <w:p w14:paraId="3155514E" w14:textId="654C0DCB" w:rsidR="00047F02" w:rsidRPr="00223935" w:rsidRDefault="00047F02" w:rsidP="00047F02">
      <w:pPr>
        <w:rPr>
          <w:rFonts w:cs="Arial"/>
          <w:b/>
          <w:sz w:val="18"/>
          <w:szCs w:val="18"/>
        </w:rPr>
      </w:pPr>
      <w:bookmarkStart w:id="2" w:name="_GoBack"/>
      <w:bookmarkEnd w:id="2"/>
      <w:r w:rsidRPr="00223935">
        <w:rPr>
          <w:rFonts w:cs="Arial"/>
          <w:b/>
          <w:sz w:val="18"/>
          <w:szCs w:val="18"/>
        </w:rPr>
        <w:lastRenderedPageBreak/>
        <w:t>Situering omvormers, monitoring</w:t>
      </w:r>
    </w:p>
    <w:p w14:paraId="311CDE26" w14:textId="77777777" w:rsidR="00047F02" w:rsidRDefault="00047F02" w:rsidP="00047F02">
      <w:pPr>
        <w:rPr>
          <w:rFonts w:cs="Arial"/>
          <w:sz w:val="18"/>
          <w:szCs w:val="18"/>
        </w:rPr>
      </w:pPr>
      <w:r w:rsidRPr="00223935">
        <w:rPr>
          <w:rFonts w:cs="Arial"/>
          <w:sz w:val="18"/>
          <w:szCs w:val="18"/>
        </w:rPr>
        <w:t>Algemeen: als schaduw (door buren, schoorstenen, of andere objecten) volgens calculatie-software als pv-gis of vergelijkbaar leidt tot meer dan 10 % opbrengstderving, is toepassing van micro-omvormers verplicht.</w:t>
      </w:r>
      <w:r w:rsidR="00FA38E2">
        <w:rPr>
          <w:rFonts w:cs="Arial"/>
          <w:sz w:val="18"/>
          <w:szCs w:val="18"/>
        </w:rPr>
        <w:t xml:space="preserve"> </w:t>
      </w:r>
    </w:p>
    <w:p w14:paraId="3B833637" w14:textId="77777777" w:rsidR="00047F02" w:rsidRPr="00223935" w:rsidRDefault="00047F02" w:rsidP="00047F02">
      <w:pPr>
        <w:rPr>
          <w:rFonts w:cs="Arial"/>
          <w:sz w:val="18"/>
          <w:szCs w:val="18"/>
        </w:rPr>
      </w:pPr>
    </w:p>
    <w:p w14:paraId="33C3B0BA" w14:textId="77777777" w:rsidR="00047F02" w:rsidRPr="00223935" w:rsidRDefault="00047F02" w:rsidP="00047F02">
      <w:pPr>
        <w:rPr>
          <w:rFonts w:cs="Arial"/>
          <w:sz w:val="18"/>
          <w:szCs w:val="18"/>
        </w:rPr>
      </w:pPr>
      <w:r w:rsidRPr="00223935">
        <w:rPr>
          <w:rFonts w:cs="Arial"/>
          <w:sz w:val="18"/>
          <w:szCs w:val="18"/>
        </w:rPr>
        <w:t>Appartementen:</w:t>
      </w:r>
    </w:p>
    <w:p w14:paraId="755F93C1" w14:textId="77777777" w:rsidR="00047F02" w:rsidRPr="00223935" w:rsidRDefault="00047F02" w:rsidP="00047F02">
      <w:pPr>
        <w:rPr>
          <w:rFonts w:cs="Arial"/>
          <w:sz w:val="18"/>
          <w:szCs w:val="18"/>
        </w:rPr>
      </w:pPr>
      <w:r w:rsidRPr="00223935">
        <w:rPr>
          <w:rFonts w:cs="Arial"/>
          <w:sz w:val="18"/>
          <w:szCs w:val="18"/>
        </w:rPr>
        <w:t>Omvormers worden op het dak gesitueerd in een afgesloten kast. Dit i.v.m. ruimte in het appartement zelf, robuuste monitoring, en onderhoud.</w:t>
      </w:r>
    </w:p>
    <w:p w14:paraId="6EB43830" w14:textId="77777777" w:rsidR="00581196" w:rsidRDefault="00047F02" w:rsidP="00047F02">
      <w:pPr>
        <w:rPr>
          <w:rFonts w:cs="Arial"/>
          <w:sz w:val="18"/>
          <w:szCs w:val="18"/>
        </w:rPr>
      </w:pPr>
      <w:r w:rsidRPr="00223935">
        <w:rPr>
          <w:rFonts w:cs="Arial"/>
          <w:sz w:val="18"/>
          <w:szCs w:val="18"/>
        </w:rPr>
        <w:t xml:space="preserve">Robuuste monitoring: de omvormers worden bedraad aangesloten op een switch/loggers op het dak, en verbonden naar een op de collectieve meterkast aan te leggen internetnetwerk. Het aanvragen van deze internetvoorziening is onderdeel van de opdracht, de abonnementskosten zijn voor </w:t>
      </w:r>
      <w:r w:rsidR="00B03688">
        <w:rPr>
          <w:rFonts w:cs="Arial"/>
          <w:sz w:val="18"/>
          <w:szCs w:val="18"/>
        </w:rPr>
        <w:t>Opdrachtgever</w:t>
      </w:r>
      <w:r w:rsidRPr="00223935">
        <w:rPr>
          <w:rFonts w:cs="Arial"/>
          <w:sz w:val="18"/>
          <w:szCs w:val="18"/>
        </w:rPr>
        <w:t>.</w:t>
      </w:r>
    </w:p>
    <w:p w14:paraId="12DC8AFE" w14:textId="77777777" w:rsidR="00581196" w:rsidRDefault="00581196" w:rsidP="00581196">
      <w:pPr>
        <w:pStyle w:val="Lijstalinea"/>
        <w:numPr>
          <w:ilvl w:val="0"/>
          <w:numId w:val="2"/>
        </w:numPr>
        <w:rPr>
          <w:rFonts w:cs="Arial"/>
          <w:sz w:val="18"/>
          <w:szCs w:val="18"/>
        </w:rPr>
      </w:pPr>
      <w:r>
        <w:rPr>
          <w:rFonts w:cs="Arial"/>
          <w:sz w:val="18"/>
          <w:szCs w:val="18"/>
        </w:rPr>
        <w:t xml:space="preserve">Alternatief: </w:t>
      </w:r>
      <w:proofErr w:type="spellStart"/>
      <w:r>
        <w:rPr>
          <w:rFonts w:cs="Arial"/>
          <w:sz w:val="18"/>
          <w:szCs w:val="18"/>
        </w:rPr>
        <w:t>brutoproductiemeters</w:t>
      </w:r>
      <w:proofErr w:type="spellEnd"/>
      <w:r>
        <w:rPr>
          <w:rFonts w:cs="Arial"/>
          <w:sz w:val="18"/>
          <w:szCs w:val="18"/>
        </w:rPr>
        <w:t xml:space="preserve"> met </w:t>
      </w:r>
      <w:proofErr w:type="spellStart"/>
      <w:r>
        <w:rPr>
          <w:rFonts w:cs="Arial"/>
          <w:sz w:val="18"/>
          <w:szCs w:val="18"/>
        </w:rPr>
        <w:t>simcard</w:t>
      </w:r>
      <w:proofErr w:type="spellEnd"/>
      <w:r w:rsidR="00615DDE">
        <w:rPr>
          <w:rFonts w:cs="Arial"/>
          <w:sz w:val="18"/>
          <w:szCs w:val="18"/>
        </w:rPr>
        <w:t xml:space="preserve"> (systeem cast4all of vergelijkbaar)</w:t>
      </w:r>
    </w:p>
    <w:p w14:paraId="31CCE800" w14:textId="77777777" w:rsidR="00581196" w:rsidRDefault="00581196" w:rsidP="00581196">
      <w:pPr>
        <w:pStyle w:val="Lijstalinea"/>
        <w:numPr>
          <w:ilvl w:val="0"/>
          <w:numId w:val="2"/>
        </w:numPr>
        <w:rPr>
          <w:rFonts w:cs="Arial"/>
          <w:sz w:val="18"/>
          <w:szCs w:val="18"/>
        </w:rPr>
      </w:pPr>
      <w:r>
        <w:rPr>
          <w:rFonts w:cs="Arial"/>
          <w:sz w:val="18"/>
          <w:szCs w:val="18"/>
        </w:rPr>
        <w:t xml:space="preserve">Alternatief: micro-omvormers via </w:t>
      </w:r>
      <w:proofErr w:type="spellStart"/>
      <w:r>
        <w:rPr>
          <w:rFonts w:cs="Arial"/>
          <w:sz w:val="18"/>
          <w:szCs w:val="18"/>
        </w:rPr>
        <w:t>zigbee</w:t>
      </w:r>
      <w:proofErr w:type="spellEnd"/>
      <w:r>
        <w:rPr>
          <w:rFonts w:cs="Arial"/>
          <w:sz w:val="18"/>
          <w:szCs w:val="18"/>
        </w:rPr>
        <w:t xml:space="preserve"> protocol verbonden met </w:t>
      </w:r>
      <w:proofErr w:type="spellStart"/>
      <w:r>
        <w:rPr>
          <w:rFonts w:cs="Arial"/>
          <w:sz w:val="18"/>
          <w:szCs w:val="18"/>
        </w:rPr>
        <w:t>intertnet</w:t>
      </w:r>
      <w:proofErr w:type="spellEnd"/>
      <w:r>
        <w:rPr>
          <w:rFonts w:cs="Arial"/>
          <w:sz w:val="18"/>
          <w:szCs w:val="18"/>
        </w:rPr>
        <w:t>,</w:t>
      </w:r>
    </w:p>
    <w:p w14:paraId="1CED048B" w14:textId="77777777" w:rsidR="00047F02" w:rsidRPr="00581196" w:rsidRDefault="00047F02" w:rsidP="00581196">
      <w:pPr>
        <w:pStyle w:val="Lijstalinea"/>
        <w:rPr>
          <w:rFonts w:cs="Arial"/>
          <w:sz w:val="18"/>
          <w:szCs w:val="18"/>
        </w:rPr>
      </w:pPr>
      <w:r w:rsidRPr="00581196">
        <w:rPr>
          <w:rFonts w:cs="Arial"/>
          <w:sz w:val="18"/>
          <w:szCs w:val="18"/>
        </w:rPr>
        <w:t xml:space="preserve"> </w:t>
      </w:r>
    </w:p>
    <w:p w14:paraId="4BD41958" w14:textId="77777777" w:rsidR="00047F02" w:rsidRPr="00223935" w:rsidRDefault="00047F02" w:rsidP="00047F02">
      <w:pPr>
        <w:rPr>
          <w:rFonts w:cs="Arial"/>
          <w:sz w:val="18"/>
          <w:szCs w:val="18"/>
        </w:rPr>
      </w:pPr>
      <w:r w:rsidRPr="00223935">
        <w:rPr>
          <w:rFonts w:cs="Arial"/>
          <w:sz w:val="18"/>
          <w:szCs w:val="18"/>
        </w:rPr>
        <w:t xml:space="preserve">In elk appartement wordt in de meterkast bij de groep een simpele brutoproductiemeter met display geplaatst </w:t>
      </w:r>
      <w:r w:rsidR="0028794E">
        <w:rPr>
          <w:rFonts w:cs="Arial"/>
          <w:sz w:val="18"/>
          <w:szCs w:val="18"/>
        </w:rPr>
        <w:t xml:space="preserve">de </w:t>
      </w:r>
      <w:proofErr w:type="spellStart"/>
      <w:r w:rsidR="0028794E">
        <w:rPr>
          <w:rFonts w:cs="Arial"/>
          <w:sz w:val="18"/>
          <w:szCs w:val="18"/>
        </w:rPr>
        <w:t>de</w:t>
      </w:r>
      <w:proofErr w:type="spellEnd"/>
      <w:r w:rsidR="0028794E">
        <w:rPr>
          <w:rFonts w:cs="Arial"/>
          <w:sz w:val="18"/>
          <w:szCs w:val="18"/>
        </w:rPr>
        <w:t xml:space="preserve"> cumulatieve opbrengsten sinds installatie registreert. Hiermee kan </w:t>
      </w:r>
      <w:r w:rsidRPr="00223935">
        <w:rPr>
          <w:rFonts w:cs="Arial"/>
          <w:sz w:val="18"/>
          <w:szCs w:val="18"/>
        </w:rPr>
        <w:t>de bewoner zelf de opbrengsten monitoren, zonder hiervoor gebruik te hoeven maken van internet.</w:t>
      </w:r>
    </w:p>
    <w:p w14:paraId="22DD1E6F" w14:textId="77777777" w:rsidR="00047F02" w:rsidRPr="00223935" w:rsidRDefault="00047F02" w:rsidP="00047F02">
      <w:pPr>
        <w:rPr>
          <w:rFonts w:cs="Arial"/>
          <w:sz w:val="18"/>
          <w:szCs w:val="18"/>
        </w:rPr>
      </w:pPr>
      <w:r w:rsidRPr="00223935">
        <w:rPr>
          <w:rFonts w:cs="Arial"/>
          <w:sz w:val="18"/>
          <w:szCs w:val="18"/>
        </w:rPr>
        <w:t xml:space="preserve">De installateur zorgt voor één account waarmee </w:t>
      </w:r>
      <w:r w:rsidR="00B03688">
        <w:rPr>
          <w:rFonts w:cs="Arial"/>
          <w:sz w:val="18"/>
          <w:szCs w:val="18"/>
        </w:rPr>
        <w:t>Opdrachtgever</w:t>
      </w:r>
      <w:r w:rsidRPr="00223935">
        <w:rPr>
          <w:rFonts w:cs="Arial"/>
          <w:sz w:val="18"/>
          <w:szCs w:val="18"/>
        </w:rPr>
        <w:t xml:space="preserve"> alle omvormers kan monitoren.</w:t>
      </w:r>
    </w:p>
    <w:p w14:paraId="17E55D85" w14:textId="77777777" w:rsidR="00047F02" w:rsidRDefault="00047F02" w:rsidP="00047F02">
      <w:pPr>
        <w:rPr>
          <w:rFonts w:cs="Arial"/>
          <w:sz w:val="18"/>
          <w:szCs w:val="18"/>
        </w:rPr>
      </w:pPr>
      <w:r w:rsidRPr="00223935">
        <w:rPr>
          <w:rFonts w:cs="Arial"/>
          <w:sz w:val="18"/>
          <w:szCs w:val="18"/>
        </w:rPr>
        <w:t xml:space="preserve">Alternatief, plaatsing van omvormers in appartementen is mogelijk na toestemming van </w:t>
      </w:r>
      <w:r w:rsidR="00B03688">
        <w:rPr>
          <w:rFonts w:cs="Arial"/>
          <w:sz w:val="18"/>
          <w:szCs w:val="18"/>
        </w:rPr>
        <w:t>Opdrachtgever</w:t>
      </w:r>
      <w:r w:rsidRPr="00223935">
        <w:rPr>
          <w:rFonts w:cs="Arial"/>
          <w:sz w:val="18"/>
          <w:szCs w:val="18"/>
        </w:rPr>
        <w:t>, dan geldt hetgeen genoemd onder eengezinswoningen.</w:t>
      </w:r>
    </w:p>
    <w:p w14:paraId="55417EF2" w14:textId="77777777" w:rsidR="00AF3D1F" w:rsidRDefault="00AF3D1F" w:rsidP="00047F02">
      <w:pPr>
        <w:rPr>
          <w:rFonts w:cs="Arial"/>
          <w:sz w:val="18"/>
          <w:szCs w:val="18"/>
        </w:rPr>
      </w:pPr>
    </w:p>
    <w:p w14:paraId="4CAFFCA1" w14:textId="77777777" w:rsidR="0005287C" w:rsidRDefault="0005287C" w:rsidP="00047F02">
      <w:pPr>
        <w:rPr>
          <w:rFonts w:cs="Arial"/>
          <w:sz w:val="18"/>
          <w:szCs w:val="18"/>
        </w:rPr>
      </w:pPr>
      <w:r>
        <w:rPr>
          <w:rFonts w:cs="Arial"/>
          <w:sz w:val="18"/>
          <w:szCs w:val="18"/>
        </w:rPr>
        <w:t>Bij minder dan 5 panelen per appartement</w:t>
      </w:r>
      <w:r w:rsidR="00AF3D1F">
        <w:rPr>
          <w:rFonts w:cs="Arial"/>
          <w:sz w:val="18"/>
          <w:szCs w:val="18"/>
        </w:rPr>
        <w:t xml:space="preserve">, of veel schaduw, of weinig ruimte voor </w:t>
      </w:r>
      <w:proofErr w:type="spellStart"/>
      <w:r w:rsidR="00AF3D1F">
        <w:rPr>
          <w:rFonts w:cs="Arial"/>
          <w:sz w:val="18"/>
          <w:szCs w:val="18"/>
        </w:rPr>
        <w:t>omormers</w:t>
      </w:r>
      <w:proofErr w:type="spellEnd"/>
      <w:r>
        <w:rPr>
          <w:rFonts w:cs="Arial"/>
          <w:sz w:val="18"/>
          <w:szCs w:val="18"/>
        </w:rPr>
        <w:t>, is toepassing van micro-omvormers interessant. Toepassing van innovatieve producten als Herman de Zonnestroomverdeler of Powershare (Cast4all) ter beoordeling van opdrachtgever.</w:t>
      </w:r>
    </w:p>
    <w:p w14:paraId="167B89DA" w14:textId="77777777" w:rsidR="00047F02" w:rsidRPr="00223935" w:rsidRDefault="00047F02" w:rsidP="00047F02">
      <w:pPr>
        <w:rPr>
          <w:rFonts w:cs="Arial"/>
          <w:sz w:val="18"/>
          <w:szCs w:val="18"/>
        </w:rPr>
      </w:pPr>
    </w:p>
    <w:p w14:paraId="1C64301D" w14:textId="77777777" w:rsidR="00047F02" w:rsidRPr="00223935" w:rsidRDefault="00047F02" w:rsidP="00047F02">
      <w:pPr>
        <w:rPr>
          <w:rFonts w:cs="Arial"/>
          <w:sz w:val="18"/>
          <w:szCs w:val="18"/>
        </w:rPr>
      </w:pPr>
      <w:r w:rsidRPr="00223935">
        <w:rPr>
          <w:rFonts w:cs="Arial"/>
          <w:sz w:val="18"/>
          <w:szCs w:val="18"/>
        </w:rPr>
        <w:t>Eengezinswoningen:</w:t>
      </w:r>
    </w:p>
    <w:p w14:paraId="4A9679B0" w14:textId="77777777" w:rsidR="00615DDE" w:rsidRDefault="00047F02" w:rsidP="00615DDE">
      <w:pPr>
        <w:rPr>
          <w:rFonts w:cs="Arial"/>
          <w:sz w:val="18"/>
          <w:szCs w:val="18"/>
        </w:rPr>
      </w:pPr>
      <w:r w:rsidRPr="00615DDE">
        <w:rPr>
          <w:rFonts w:cs="Arial"/>
          <w:sz w:val="18"/>
          <w:szCs w:val="18"/>
        </w:rPr>
        <w:t xml:space="preserve">Omvormer </w:t>
      </w:r>
      <w:r w:rsidR="00615DDE" w:rsidRPr="00615DDE">
        <w:rPr>
          <w:rFonts w:cs="Arial"/>
          <w:sz w:val="18"/>
          <w:szCs w:val="18"/>
        </w:rPr>
        <w:t>via een bruto</w:t>
      </w:r>
      <w:r w:rsidR="00615DDE">
        <w:rPr>
          <w:rFonts w:cs="Arial"/>
          <w:sz w:val="18"/>
          <w:szCs w:val="18"/>
        </w:rPr>
        <w:t xml:space="preserve">productiemeter met eigen </w:t>
      </w:r>
      <w:proofErr w:type="spellStart"/>
      <w:r w:rsidR="00615DDE">
        <w:rPr>
          <w:rFonts w:cs="Arial"/>
          <w:sz w:val="18"/>
          <w:szCs w:val="18"/>
        </w:rPr>
        <w:t>simcard</w:t>
      </w:r>
      <w:proofErr w:type="spellEnd"/>
      <w:r w:rsidR="00615DDE">
        <w:rPr>
          <w:rFonts w:cs="Arial"/>
          <w:sz w:val="18"/>
          <w:szCs w:val="18"/>
        </w:rPr>
        <w:t xml:space="preserve"> verbinden naar een monitoringsomgeving. (systeem cast4all of vergelijkbaar). Monitoring via het internet van de bewoners is niet toegestaan wegens foutgevoeligheid/bewonersgedrag.</w:t>
      </w:r>
    </w:p>
    <w:p w14:paraId="09C734C6" w14:textId="77777777" w:rsidR="00AF3D1F" w:rsidRDefault="00AF3D1F" w:rsidP="00047F02">
      <w:pPr>
        <w:rPr>
          <w:rFonts w:cs="Arial"/>
          <w:sz w:val="18"/>
          <w:szCs w:val="18"/>
        </w:rPr>
      </w:pPr>
      <w:r>
        <w:rPr>
          <w:rFonts w:cs="Arial"/>
          <w:sz w:val="18"/>
          <w:szCs w:val="18"/>
        </w:rPr>
        <w:t>Meerprijs voor micro-omvormers opgeven.</w:t>
      </w:r>
    </w:p>
    <w:p w14:paraId="3A404F9F" w14:textId="77777777" w:rsidR="00047F02" w:rsidRPr="00223935" w:rsidRDefault="00047F02" w:rsidP="00047F02">
      <w:pPr>
        <w:rPr>
          <w:rFonts w:cs="Arial"/>
          <w:sz w:val="18"/>
          <w:szCs w:val="18"/>
        </w:rPr>
      </w:pPr>
    </w:p>
    <w:p w14:paraId="503B495F" w14:textId="77777777" w:rsidR="00615DDE" w:rsidRDefault="00615DDE">
      <w:pPr>
        <w:spacing w:after="160" w:line="259" w:lineRule="auto"/>
        <w:jc w:val="left"/>
        <w:rPr>
          <w:rFonts w:cs="Arial"/>
          <w:b/>
          <w:sz w:val="18"/>
          <w:szCs w:val="18"/>
        </w:rPr>
      </w:pPr>
      <w:r>
        <w:rPr>
          <w:rFonts w:cs="Arial"/>
          <w:b/>
          <w:sz w:val="18"/>
          <w:szCs w:val="18"/>
        </w:rPr>
        <w:br w:type="page"/>
      </w:r>
    </w:p>
    <w:p w14:paraId="0D7AADB6" w14:textId="77777777" w:rsidR="00047F02" w:rsidRPr="00223935" w:rsidRDefault="00047F02" w:rsidP="00047F02">
      <w:pPr>
        <w:rPr>
          <w:rFonts w:cs="Arial"/>
          <w:b/>
          <w:sz w:val="18"/>
          <w:szCs w:val="18"/>
        </w:rPr>
      </w:pPr>
      <w:r w:rsidRPr="00223935">
        <w:rPr>
          <w:rFonts w:cs="Arial"/>
          <w:b/>
          <w:sz w:val="18"/>
          <w:szCs w:val="18"/>
        </w:rPr>
        <w:lastRenderedPageBreak/>
        <w:t>Materiaalkeuze</w:t>
      </w:r>
    </w:p>
    <w:p w14:paraId="3666DDAF" w14:textId="77777777" w:rsidR="00047F02" w:rsidRPr="00223935" w:rsidRDefault="00047F02" w:rsidP="00047F02">
      <w:pPr>
        <w:rPr>
          <w:rFonts w:cs="Arial"/>
          <w:sz w:val="18"/>
          <w:szCs w:val="18"/>
          <w:u w:val="single"/>
        </w:rPr>
      </w:pPr>
      <w:r w:rsidRPr="00223935">
        <w:rPr>
          <w:rFonts w:cs="Arial"/>
          <w:sz w:val="18"/>
          <w:szCs w:val="18"/>
          <w:u w:val="single"/>
        </w:rPr>
        <w:t xml:space="preserve">Panelen: </w:t>
      </w:r>
    </w:p>
    <w:p w14:paraId="23534FC1" w14:textId="77777777" w:rsidR="00047F02" w:rsidRPr="00615DDE" w:rsidRDefault="00047F02" w:rsidP="00047F02">
      <w:pPr>
        <w:rPr>
          <w:rFonts w:cs="Arial"/>
          <w:sz w:val="18"/>
          <w:szCs w:val="18"/>
        </w:rPr>
      </w:pPr>
      <w:r w:rsidRPr="00223935">
        <w:rPr>
          <w:rFonts w:cs="Arial"/>
          <w:sz w:val="18"/>
          <w:szCs w:val="18"/>
        </w:rPr>
        <w:t xml:space="preserve">Indien zonnepanelen benodigd zijn voor epc: Verkoper heeft er nota van genomen dat alleen met het werkelijke vermogen mag worden gerekend indien gekozen wordt voor panelen met een </w:t>
      </w:r>
      <w:r w:rsidR="00AF3D1F">
        <w:rPr>
          <w:rFonts w:cs="Arial"/>
          <w:sz w:val="18"/>
          <w:szCs w:val="18"/>
        </w:rPr>
        <w:t xml:space="preserve">kwaliteitsverklaring. </w:t>
      </w:r>
      <w:r w:rsidR="00AF3D1F" w:rsidRPr="00615DDE">
        <w:rPr>
          <w:rFonts w:cs="Arial"/>
          <w:sz w:val="18"/>
          <w:szCs w:val="18"/>
        </w:rPr>
        <w:t>Kwaliteitsverklaring te verzorgen door Verkoper</w:t>
      </w:r>
      <w:r w:rsidRPr="00615DDE">
        <w:rPr>
          <w:rFonts w:cs="Arial"/>
          <w:sz w:val="18"/>
          <w:szCs w:val="18"/>
        </w:rPr>
        <w:t xml:space="preserve"> (zie </w:t>
      </w:r>
      <w:hyperlink r:id="rId9" w:history="1">
        <w:r w:rsidRPr="00615DDE">
          <w:rPr>
            <w:rStyle w:val="Hyperlink"/>
            <w:rFonts w:cs="Arial"/>
            <w:sz w:val="18"/>
            <w:szCs w:val="18"/>
          </w:rPr>
          <w:t>www.bcrg.nl</w:t>
        </w:r>
      </w:hyperlink>
      <w:r w:rsidRPr="00615DDE">
        <w:rPr>
          <w:rFonts w:cs="Arial"/>
          <w:sz w:val="18"/>
          <w:szCs w:val="18"/>
        </w:rPr>
        <w:t>).</w:t>
      </w:r>
    </w:p>
    <w:p w14:paraId="4E275609" w14:textId="77777777" w:rsidR="0005287C" w:rsidRPr="0005287C" w:rsidRDefault="00AF3D1F" w:rsidP="0005287C">
      <w:pPr>
        <w:rPr>
          <w:rFonts w:cs="Arial"/>
          <w:sz w:val="18"/>
          <w:szCs w:val="18"/>
        </w:rPr>
      </w:pPr>
      <w:r w:rsidRPr="00615DDE">
        <w:rPr>
          <w:rFonts w:cs="Arial"/>
          <w:sz w:val="18"/>
          <w:szCs w:val="18"/>
        </w:rPr>
        <w:t>T</w:t>
      </w:r>
      <w:r w:rsidR="00047F02" w:rsidRPr="00615DDE">
        <w:rPr>
          <w:rFonts w:cs="Arial"/>
          <w:sz w:val="18"/>
          <w:szCs w:val="18"/>
        </w:rPr>
        <w:t xml:space="preserve">oegestaan zijn </w:t>
      </w:r>
      <w:r w:rsidR="0005287C" w:rsidRPr="00615DDE">
        <w:rPr>
          <w:rFonts w:cs="Arial"/>
          <w:sz w:val="18"/>
          <w:szCs w:val="18"/>
        </w:rPr>
        <w:t xml:space="preserve">merken die worden genoemd in het overzicht van </w:t>
      </w:r>
      <w:proofErr w:type="spellStart"/>
      <w:r w:rsidR="0005287C" w:rsidRPr="00615DDE">
        <w:rPr>
          <w:rFonts w:cs="Arial"/>
          <w:sz w:val="18"/>
          <w:szCs w:val="18"/>
        </w:rPr>
        <w:t>Bloomberg</w:t>
      </w:r>
      <w:proofErr w:type="spellEnd"/>
      <w:r w:rsidR="0005287C" w:rsidRPr="00615DDE">
        <w:rPr>
          <w:rFonts w:cs="Arial"/>
          <w:sz w:val="18"/>
          <w:szCs w:val="18"/>
        </w:rPr>
        <w:t xml:space="preserve"> Energy New Finance Tier1-leveranciers, </w:t>
      </w:r>
      <w:r w:rsidRPr="00615DDE">
        <w:rPr>
          <w:rFonts w:cs="Arial"/>
          <w:sz w:val="18"/>
          <w:szCs w:val="18"/>
        </w:rPr>
        <w:t>maximaal 1 kwartaal oud</w:t>
      </w:r>
      <w:r w:rsidR="0005287C" w:rsidRPr="00615DDE">
        <w:rPr>
          <w:rFonts w:cs="Arial"/>
          <w:sz w:val="18"/>
          <w:szCs w:val="18"/>
        </w:rPr>
        <w:t>. Opdrachtgever kiest voor deze kwalificatie omdat dit enige zekerheid biedt over de financierbaarheid van het product (</w:t>
      </w:r>
      <w:proofErr w:type="spellStart"/>
      <w:r w:rsidR="0005287C" w:rsidRPr="00615DDE">
        <w:rPr>
          <w:rFonts w:cs="Arial"/>
          <w:sz w:val="18"/>
          <w:szCs w:val="18"/>
        </w:rPr>
        <w:t>bankeability</w:t>
      </w:r>
      <w:proofErr w:type="spellEnd"/>
      <w:r w:rsidR="0005287C" w:rsidRPr="00615DDE">
        <w:rPr>
          <w:rFonts w:cs="Arial"/>
          <w:sz w:val="18"/>
          <w:szCs w:val="18"/>
        </w:rPr>
        <w:t xml:space="preserve">) en daarmee of de producten qua technische criteria, balans van de leverancier en trackrecord van de leverancier in orde zijn bevonden. </w:t>
      </w:r>
      <w:proofErr w:type="spellStart"/>
      <w:r w:rsidR="0005287C" w:rsidRPr="00615DDE">
        <w:rPr>
          <w:rFonts w:cs="Arial"/>
          <w:sz w:val="18"/>
          <w:szCs w:val="18"/>
        </w:rPr>
        <w:t>Bloomberg</w:t>
      </w:r>
      <w:proofErr w:type="spellEnd"/>
      <w:r w:rsidR="0005287C" w:rsidRPr="00615DDE">
        <w:rPr>
          <w:rFonts w:cs="Arial"/>
          <w:sz w:val="18"/>
          <w:szCs w:val="18"/>
        </w:rPr>
        <w:t xml:space="preserve"> New Energy Finance is naar inschatting van opdrachtgever internationaal</w:t>
      </w:r>
      <w:r w:rsidR="0005287C" w:rsidRPr="0005287C">
        <w:rPr>
          <w:rFonts w:cs="Arial"/>
          <w:sz w:val="18"/>
          <w:szCs w:val="18"/>
        </w:rPr>
        <w:t xml:space="preserve"> gezien het meest erkende onafhankelijke bureau in deze markt.</w:t>
      </w:r>
    </w:p>
    <w:p w14:paraId="561C7694" w14:textId="77777777" w:rsidR="00D93527" w:rsidRDefault="00D93527" w:rsidP="00047F02">
      <w:pPr>
        <w:rPr>
          <w:rFonts w:cs="Arial"/>
          <w:sz w:val="18"/>
          <w:szCs w:val="18"/>
        </w:rPr>
      </w:pPr>
    </w:p>
    <w:p w14:paraId="1CFDE768" w14:textId="77777777" w:rsidR="00047F02" w:rsidRPr="00223935" w:rsidRDefault="00047F02" w:rsidP="00047F02">
      <w:pPr>
        <w:rPr>
          <w:rFonts w:cs="Arial"/>
          <w:sz w:val="18"/>
          <w:szCs w:val="18"/>
        </w:rPr>
      </w:pPr>
      <w:r w:rsidRPr="00223935">
        <w:rPr>
          <w:rFonts w:cs="Arial"/>
          <w:sz w:val="18"/>
          <w:szCs w:val="18"/>
        </w:rPr>
        <w:t xml:space="preserve">Panelen moeten voldoen aan de normen IEC61215, IEC 61730,  IEC 627716,  IEC 61701,  beschikken over CE-markering, een minimaal nominaal vermogen hebben van </w:t>
      </w:r>
      <w:r w:rsidR="004A277D">
        <w:rPr>
          <w:rFonts w:cs="Arial"/>
          <w:sz w:val="18"/>
          <w:szCs w:val="18"/>
        </w:rPr>
        <w:t>270</w:t>
      </w:r>
      <w:r w:rsidRPr="00223935">
        <w:rPr>
          <w:rFonts w:cs="Arial"/>
          <w:sz w:val="18"/>
          <w:szCs w:val="18"/>
        </w:rPr>
        <w:t xml:space="preserve"> Wp conform IEC60904 bij een oppervlakte van maximaal 1,7 m2, uitsluitend een positieve vermogenstolerantie hebben.</w:t>
      </w:r>
    </w:p>
    <w:p w14:paraId="53A339E0" w14:textId="77777777" w:rsidR="00047F02" w:rsidRDefault="00047F02" w:rsidP="00047F02">
      <w:pPr>
        <w:rPr>
          <w:rFonts w:cs="Arial"/>
          <w:sz w:val="18"/>
          <w:szCs w:val="18"/>
        </w:rPr>
      </w:pPr>
      <w:r w:rsidRPr="00223935">
        <w:rPr>
          <w:rFonts w:cs="Arial"/>
          <w:sz w:val="18"/>
          <w:szCs w:val="18"/>
        </w:rPr>
        <w:t>Panelen dienen voorzien te zijn van fabrieksgarantie te weten productgarantie van minstens 10 jaar, en vermogensgarantie die lineair afloopt met als ijkpunten na 10 jaar minimaal 90% en na 25 jaar minimaal 80% van het nominaal vermogensgaranties moeten aantoonbaar zijn afgegeven door de fabrikant. De gegevens op de bijbehorende datasheet van de fabrikant dienen in overeenstemming te zijn.</w:t>
      </w:r>
    </w:p>
    <w:p w14:paraId="37F02FF3" w14:textId="77777777" w:rsidR="00047F02" w:rsidRPr="00223935" w:rsidRDefault="00047F02" w:rsidP="00047F02">
      <w:pPr>
        <w:rPr>
          <w:rFonts w:cs="Arial"/>
          <w:sz w:val="18"/>
          <w:szCs w:val="18"/>
        </w:rPr>
      </w:pPr>
    </w:p>
    <w:p w14:paraId="146C547F" w14:textId="77777777" w:rsidR="00047F02" w:rsidRPr="00D93527" w:rsidRDefault="00047F02" w:rsidP="00047F02">
      <w:pPr>
        <w:rPr>
          <w:rFonts w:cs="Arial"/>
          <w:sz w:val="18"/>
          <w:szCs w:val="18"/>
          <w:u w:val="single"/>
        </w:rPr>
      </w:pPr>
      <w:r w:rsidRPr="00D93527">
        <w:rPr>
          <w:rFonts w:cs="Arial"/>
          <w:sz w:val="18"/>
          <w:szCs w:val="18"/>
          <w:u w:val="single"/>
        </w:rPr>
        <w:t>Omvormer:</w:t>
      </w:r>
    </w:p>
    <w:p w14:paraId="1AF25019" w14:textId="77777777" w:rsidR="00047F02" w:rsidRPr="00D93527" w:rsidRDefault="00047F02" w:rsidP="00047F02">
      <w:pPr>
        <w:rPr>
          <w:rFonts w:cs="Arial"/>
          <w:sz w:val="18"/>
          <w:szCs w:val="18"/>
        </w:rPr>
      </w:pPr>
      <w:r w:rsidRPr="00D93527">
        <w:rPr>
          <w:rFonts w:cs="Arial"/>
          <w:sz w:val="18"/>
          <w:szCs w:val="18"/>
        </w:rPr>
        <w:t>Toegestaan zijn Sma,</w:t>
      </w:r>
      <w:r w:rsidR="00860CF4" w:rsidRPr="00D93527">
        <w:rPr>
          <w:rFonts w:cs="Arial"/>
          <w:sz w:val="18"/>
          <w:szCs w:val="18"/>
        </w:rPr>
        <w:t xml:space="preserve"> </w:t>
      </w:r>
      <w:proofErr w:type="spellStart"/>
      <w:r w:rsidR="00860CF4" w:rsidRPr="00D93527">
        <w:rPr>
          <w:rFonts w:cs="Arial"/>
          <w:sz w:val="18"/>
          <w:szCs w:val="18"/>
        </w:rPr>
        <w:t>mastervolt</w:t>
      </w:r>
      <w:proofErr w:type="spellEnd"/>
      <w:r w:rsidR="00860CF4" w:rsidRPr="00D93527">
        <w:rPr>
          <w:rFonts w:cs="Arial"/>
          <w:sz w:val="18"/>
          <w:szCs w:val="18"/>
        </w:rPr>
        <w:t xml:space="preserve">, </w:t>
      </w:r>
      <w:proofErr w:type="spellStart"/>
      <w:r w:rsidR="00860CF4" w:rsidRPr="00D93527">
        <w:rPr>
          <w:rFonts w:cs="Arial"/>
          <w:sz w:val="18"/>
          <w:szCs w:val="18"/>
        </w:rPr>
        <w:t>solaredge</w:t>
      </w:r>
      <w:proofErr w:type="spellEnd"/>
      <w:r w:rsidR="00860CF4" w:rsidRPr="00D93527">
        <w:rPr>
          <w:rFonts w:cs="Arial"/>
          <w:sz w:val="18"/>
          <w:szCs w:val="18"/>
        </w:rPr>
        <w:t>,</w:t>
      </w:r>
      <w:r w:rsidRPr="00D93527">
        <w:rPr>
          <w:rFonts w:cs="Arial"/>
          <w:sz w:val="18"/>
          <w:szCs w:val="18"/>
        </w:rPr>
        <w:t xml:space="preserve"> </w:t>
      </w:r>
      <w:proofErr w:type="spellStart"/>
      <w:r w:rsidRPr="00D93527">
        <w:rPr>
          <w:rFonts w:cs="Arial"/>
          <w:sz w:val="18"/>
          <w:szCs w:val="18"/>
        </w:rPr>
        <w:t>goodwe</w:t>
      </w:r>
      <w:proofErr w:type="spellEnd"/>
      <w:r w:rsidRPr="00D93527">
        <w:rPr>
          <w:rFonts w:cs="Arial"/>
          <w:sz w:val="18"/>
          <w:szCs w:val="18"/>
        </w:rPr>
        <w:t xml:space="preserve">, </w:t>
      </w:r>
      <w:proofErr w:type="spellStart"/>
      <w:r w:rsidRPr="00D93527">
        <w:rPr>
          <w:rFonts w:cs="Arial"/>
          <w:sz w:val="18"/>
          <w:szCs w:val="18"/>
        </w:rPr>
        <w:t>zeversolar</w:t>
      </w:r>
      <w:proofErr w:type="spellEnd"/>
      <w:r w:rsidRPr="00D93527">
        <w:rPr>
          <w:rFonts w:cs="Arial"/>
          <w:sz w:val="18"/>
          <w:szCs w:val="18"/>
        </w:rPr>
        <w:t xml:space="preserve">, </w:t>
      </w:r>
      <w:proofErr w:type="spellStart"/>
      <w:r w:rsidRPr="00D93527">
        <w:rPr>
          <w:rFonts w:cs="Arial"/>
          <w:sz w:val="18"/>
          <w:szCs w:val="18"/>
        </w:rPr>
        <w:t>omnik</w:t>
      </w:r>
      <w:proofErr w:type="spellEnd"/>
      <w:r w:rsidR="00860CF4" w:rsidRPr="00D93527">
        <w:rPr>
          <w:rFonts w:cs="Arial"/>
          <w:sz w:val="18"/>
          <w:szCs w:val="18"/>
        </w:rPr>
        <w:t>,</w:t>
      </w:r>
      <w:r w:rsidR="00F61D4D" w:rsidRPr="00D93527">
        <w:rPr>
          <w:rFonts w:cs="Arial"/>
          <w:sz w:val="18"/>
          <w:szCs w:val="18"/>
        </w:rPr>
        <w:t xml:space="preserve"> </w:t>
      </w:r>
      <w:proofErr w:type="spellStart"/>
      <w:r w:rsidR="00F61D4D" w:rsidRPr="00D93527">
        <w:rPr>
          <w:rFonts w:cs="Arial"/>
          <w:sz w:val="18"/>
          <w:szCs w:val="18"/>
        </w:rPr>
        <w:t>growatt</w:t>
      </w:r>
      <w:proofErr w:type="spellEnd"/>
      <w:r w:rsidR="00860CF4" w:rsidRPr="00D93527">
        <w:rPr>
          <w:rFonts w:cs="Arial"/>
          <w:sz w:val="18"/>
          <w:szCs w:val="18"/>
        </w:rPr>
        <w:t xml:space="preserve"> en voor micro-omvormers </w:t>
      </w:r>
      <w:proofErr w:type="spellStart"/>
      <w:r w:rsidR="00860CF4" w:rsidRPr="00D93527">
        <w:rPr>
          <w:rFonts w:cs="Arial"/>
          <w:sz w:val="18"/>
          <w:szCs w:val="18"/>
        </w:rPr>
        <w:t>enphase</w:t>
      </w:r>
      <w:proofErr w:type="spellEnd"/>
      <w:r w:rsidR="00D93527" w:rsidRPr="00D93527">
        <w:rPr>
          <w:rFonts w:cs="Arial"/>
          <w:sz w:val="18"/>
          <w:szCs w:val="18"/>
        </w:rPr>
        <w:t xml:space="preserve"> en </w:t>
      </w:r>
      <w:proofErr w:type="spellStart"/>
      <w:r w:rsidR="00D93527" w:rsidRPr="00D93527">
        <w:rPr>
          <w:rFonts w:cs="Arial"/>
          <w:sz w:val="18"/>
          <w:szCs w:val="18"/>
        </w:rPr>
        <w:t>ap</w:t>
      </w:r>
      <w:proofErr w:type="spellEnd"/>
      <w:r w:rsidR="00D93527" w:rsidRPr="00D93527">
        <w:rPr>
          <w:rFonts w:cs="Arial"/>
          <w:sz w:val="18"/>
          <w:szCs w:val="18"/>
        </w:rPr>
        <w:t xml:space="preserve"> systems</w:t>
      </w:r>
      <w:r w:rsidRPr="00D93527">
        <w:rPr>
          <w:rFonts w:cs="Arial"/>
          <w:sz w:val="18"/>
          <w:szCs w:val="18"/>
        </w:rPr>
        <w:t>. Van deze omvormers is bekend dat ze kwalitatief goed zijn en groepsmonitoring toestaan.</w:t>
      </w:r>
    </w:p>
    <w:p w14:paraId="5CF79F41" w14:textId="77777777" w:rsidR="00047F02" w:rsidRPr="00223935" w:rsidRDefault="00047F02" w:rsidP="00047F02">
      <w:pPr>
        <w:rPr>
          <w:rFonts w:cs="Arial"/>
          <w:sz w:val="18"/>
          <w:szCs w:val="18"/>
        </w:rPr>
      </w:pPr>
      <w:r w:rsidRPr="00D93527">
        <w:rPr>
          <w:rFonts w:cs="Arial"/>
          <w:sz w:val="18"/>
          <w:szCs w:val="18"/>
        </w:rPr>
        <w:t>Productgarantie</w:t>
      </w:r>
      <w:r w:rsidR="00D93527">
        <w:rPr>
          <w:rFonts w:cs="Arial"/>
          <w:sz w:val="18"/>
          <w:szCs w:val="18"/>
        </w:rPr>
        <w:t>:</w:t>
      </w:r>
      <w:r w:rsidRPr="00D93527">
        <w:rPr>
          <w:rFonts w:cs="Arial"/>
          <w:sz w:val="18"/>
          <w:szCs w:val="18"/>
        </w:rPr>
        <w:t xml:space="preserve"> 10 jaar</w:t>
      </w:r>
      <w:r w:rsidR="00D93527">
        <w:rPr>
          <w:rFonts w:cs="Arial"/>
          <w:sz w:val="18"/>
          <w:szCs w:val="18"/>
        </w:rPr>
        <w:t xml:space="preserve"> bij stringomvormers (dus bijkopen t.o.v. standaard van 5 jaar) en 20 jaar bij micro-omvormers (dus in geval van </w:t>
      </w:r>
      <w:proofErr w:type="spellStart"/>
      <w:r w:rsidR="00D93527">
        <w:rPr>
          <w:rFonts w:cs="Arial"/>
          <w:sz w:val="18"/>
          <w:szCs w:val="18"/>
        </w:rPr>
        <w:t>ap</w:t>
      </w:r>
      <w:proofErr w:type="spellEnd"/>
      <w:r w:rsidR="00D93527">
        <w:rPr>
          <w:rFonts w:cs="Arial"/>
          <w:sz w:val="18"/>
          <w:szCs w:val="18"/>
        </w:rPr>
        <w:t xml:space="preserve"> systems bijkopen)</w:t>
      </w:r>
      <w:r w:rsidRPr="00D93527">
        <w:rPr>
          <w:rFonts w:cs="Arial"/>
          <w:sz w:val="18"/>
          <w:szCs w:val="18"/>
        </w:rPr>
        <w:t>.</w:t>
      </w:r>
    </w:p>
    <w:p w14:paraId="22A56817" w14:textId="77777777" w:rsidR="00047F02" w:rsidRPr="00223935" w:rsidRDefault="00047F02" w:rsidP="00047F02">
      <w:pPr>
        <w:rPr>
          <w:rFonts w:cs="Arial"/>
          <w:sz w:val="18"/>
          <w:szCs w:val="18"/>
        </w:rPr>
      </w:pPr>
      <w:r w:rsidRPr="00223935">
        <w:rPr>
          <w:rFonts w:cs="Arial"/>
          <w:sz w:val="18"/>
          <w:szCs w:val="18"/>
        </w:rPr>
        <w:t>Voldoen aan IEC 62109-1</w:t>
      </w:r>
    </w:p>
    <w:p w14:paraId="3E970E47" w14:textId="77777777" w:rsidR="00047F02" w:rsidRPr="00223935" w:rsidRDefault="00047F02" w:rsidP="00047F02">
      <w:pPr>
        <w:rPr>
          <w:rFonts w:cs="Arial"/>
          <w:sz w:val="18"/>
          <w:szCs w:val="18"/>
        </w:rPr>
      </w:pPr>
      <w:r w:rsidRPr="00223935">
        <w:rPr>
          <w:rFonts w:cs="Arial"/>
          <w:sz w:val="18"/>
          <w:szCs w:val="18"/>
        </w:rPr>
        <w:t xml:space="preserve">Display waar ten minste de cumulatief opgewekte kWh op te zien is. Indien de </w:t>
      </w:r>
      <w:r w:rsidR="00D93527">
        <w:rPr>
          <w:rFonts w:cs="Arial"/>
          <w:sz w:val="18"/>
          <w:szCs w:val="18"/>
        </w:rPr>
        <w:t>string-</w:t>
      </w:r>
      <w:r w:rsidRPr="00223935">
        <w:rPr>
          <w:rFonts w:cs="Arial"/>
          <w:sz w:val="18"/>
          <w:szCs w:val="18"/>
        </w:rPr>
        <w:t>omvormer hierover niet beschikt</w:t>
      </w:r>
      <w:r w:rsidR="00D93527">
        <w:rPr>
          <w:rFonts w:cs="Arial"/>
          <w:sz w:val="18"/>
          <w:szCs w:val="18"/>
        </w:rPr>
        <w:t xml:space="preserve">, ofwel micro-omvormers worden toegepast, dient </w:t>
      </w:r>
      <w:r w:rsidRPr="00223935">
        <w:rPr>
          <w:rFonts w:cs="Arial"/>
          <w:sz w:val="18"/>
          <w:szCs w:val="18"/>
        </w:rPr>
        <w:t xml:space="preserve">Verkoper een brutoproductiemeter in de meterkast </w:t>
      </w:r>
      <w:r w:rsidR="00D93527">
        <w:rPr>
          <w:rFonts w:cs="Arial"/>
          <w:sz w:val="18"/>
          <w:szCs w:val="18"/>
        </w:rPr>
        <w:t xml:space="preserve">te plaatsen </w:t>
      </w:r>
      <w:r w:rsidRPr="00223935">
        <w:rPr>
          <w:rFonts w:cs="Arial"/>
          <w:sz w:val="18"/>
          <w:szCs w:val="18"/>
        </w:rPr>
        <w:t>waarop bewoner de standen uit kan lezen</w:t>
      </w:r>
      <w:r w:rsidR="00D93527">
        <w:rPr>
          <w:rFonts w:cs="Arial"/>
          <w:sz w:val="18"/>
          <w:szCs w:val="18"/>
        </w:rPr>
        <w:t>.</w:t>
      </w:r>
      <w:r w:rsidRPr="00223935">
        <w:rPr>
          <w:rFonts w:cs="Arial"/>
          <w:sz w:val="18"/>
          <w:szCs w:val="18"/>
        </w:rPr>
        <w:t xml:space="preserve"> </w:t>
      </w:r>
    </w:p>
    <w:p w14:paraId="440B7E0D" w14:textId="77777777" w:rsidR="00047F02" w:rsidRPr="00223935" w:rsidRDefault="00047F02" w:rsidP="00047F02">
      <w:pPr>
        <w:rPr>
          <w:rFonts w:cs="Arial"/>
          <w:sz w:val="18"/>
          <w:szCs w:val="18"/>
        </w:rPr>
      </w:pPr>
      <w:r w:rsidRPr="00223935">
        <w:rPr>
          <w:rFonts w:cs="Arial"/>
          <w:sz w:val="18"/>
          <w:szCs w:val="18"/>
        </w:rPr>
        <w:t>Het maximale DC-vermogen van de omvormer voor ieder individueel pakket gedeeld door het piekvermogen van het veld moet tussen de 80 en 120 % liggen</w:t>
      </w:r>
    </w:p>
    <w:p w14:paraId="07EFA4C6" w14:textId="77777777" w:rsidR="00047F02" w:rsidRPr="00223935" w:rsidRDefault="00047F02" w:rsidP="00047F02">
      <w:pPr>
        <w:rPr>
          <w:rFonts w:cs="Arial"/>
          <w:sz w:val="18"/>
          <w:szCs w:val="18"/>
        </w:rPr>
      </w:pPr>
      <w:r w:rsidRPr="00223935">
        <w:rPr>
          <w:rFonts w:cs="Arial"/>
          <w:sz w:val="18"/>
          <w:szCs w:val="18"/>
        </w:rPr>
        <w:t>Geluidsproductie van elke individuele omvormer maximaal 35 dB (A).</w:t>
      </w:r>
    </w:p>
    <w:p w14:paraId="0F90F090" w14:textId="77777777" w:rsidR="00047F02" w:rsidRPr="00223935" w:rsidRDefault="00047F02" w:rsidP="00047F02">
      <w:pPr>
        <w:rPr>
          <w:rFonts w:cs="Arial"/>
          <w:sz w:val="18"/>
          <w:szCs w:val="18"/>
        </w:rPr>
      </w:pPr>
      <w:r w:rsidRPr="00223935">
        <w:rPr>
          <w:rFonts w:cs="Arial"/>
          <w:sz w:val="18"/>
          <w:szCs w:val="18"/>
        </w:rPr>
        <w:t xml:space="preserve">Plaatsen van omvormers in een verblijfsruimte is nimmer toegestaan. </w:t>
      </w:r>
    </w:p>
    <w:p w14:paraId="4669735E" w14:textId="77777777" w:rsidR="00047F02" w:rsidRPr="00223935" w:rsidRDefault="00047F02" w:rsidP="00047F02">
      <w:pPr>
        <w:rPr>
          <w:rFonts w:cs="Arial"/>
          <w:sz w:val="18"/>
          <w:szCs w:val="18"/>
        </w:rPr>
      </w:pPr>
    </w:p>
    <w:p w14:paraId="567BB9AF" w14:textId="77777777" w:rsidR="00047F02" w:rsidRPr="00223935" w:rsidRDefault="00047F02" w:rsidP="00047F02">
      <w:pPr>
        <w:rPr>
          <w:rFonts w:cs="Arial"/>
          <w:sz w:val="18"/>
          <w:szCs w:val="18"/>
          <w:u w:val="single"/>
        </w:rPr>
      </w:pPr>
      <w:r w:rsidRPr="00223935">
        <w:rPr>
          <w:rFonts w:cs="Arial"/>
          <w:sz w:val="18"/>
          <w:szCs w:val="18"/>
          <w:u w:val="single"/>
        </w:rPr>
        <w:t>Bekabeling en aansluiting op groepenkast:</w:t>
      </w:r>
    </w:p>
    <w:p w14:paraId="638F54ED" w14:textId="77777777" w:rsidR="00047F02" w:rsidRPr="00223935" w:rsidRDefault="00047F02" w:rsidP="00047F02">
      <w:pPr>
        <w:rPr>
          <w:rFonts w:cs="Arial"/>
          <w:sz w:val="18"/>
          <w:szCs w:val="18"/>
        </w:rPr>
      </w:pPr>
      <w:r w:rsidRPr="00223935">
        <w:rPr>
          <w:rFonts w:cs="Arial"/>
          <w:sz w:val="18"/>
          <w:szCs w:val="18"/>
        </w:rPr>
        <w:t xml:space="preserve">Kabeldikte ac-traject zodanig dat spanningsverlies maximaal 2% is. </w:t>
      </w:r>
    </w:p>
    <w:p w14:paraId="0CB9E696" w14:textId="77777777" w:rsidR="00047F02" w:rsidRPr="00223935" w:rsidRDefault="00047F02" w:rsidP="00047F02">
      <w:pPr>
        <w:rPr>
          <w:rFonts w:cs="Arial"/>
          <w:sz w:val="18"/>
          <w:szCs w:val="18"/>
        </w:rPr>
      </w:pPr>
      <w:r w:rsidRPr="00223935">
        <w:rPr>
          <w:rFonts w:cs="Arial"/>
          <w:sz w:val="18"/>
          <w:szCs w:val="18"/>
        </w:rPr>
        <w:t>Alle bekabeling via ingebouwde leidingen</w:t>
      </w:r>
      <w:r w:rsidR="002427EC">
        <w:rPr>
          <w:rFonts w:cs="Arial"/>
          <w:sz w:val="18"/>
          <w:szCs w:val="18"/>
        </w:rPr>
        <w:t>.</w:t>
      </w:r>
    </w:p>
    <w:p w14:paraId="52CFBDD7" w14:textId="77777777" w:rsidR="00047F02" w:rsidRPr="00223935" w:rsidRDefault="00047F02" w:rsidP="00047F02">
      <w:pPr>
        <w:rPr>
          <w:rFonts w:cs="Arial"/>
          <w:sz w:val="18"/>
          <w:szCs w:val="18"/>
        </w:rPr>
      </w:pPr>
      <w:r w:rsidRPr="00223935">
        <w:rPr>
          <w:rFonts w:cs="Arial"/>
          <w:sz w:val="18"/>
          <w:szCs w:val="18"/>
        </w:rPr>
        <w:t>Toepassing van een zonnestroomverdeler (</w:t>
      </w:r>
      <w:proofErr w:type="spellStart"/>
      <w:r w:rsidRPr="00223935">
        <w:rPr>
          <w:rFonts w:cs="Arial"/>
          <w:sz w:val="18"/>
          <w:szCs w:val="18"/>
        </w:rPr>
        <w:t>abb</w:t>
      </w:r>
      <w:proofErr w:type="spellEnd"/>
      <w:r w:rsidRPr="00223935">
        <w:rPr>
          <w:rFonts w:cs="Arial"/>
          <w:sz w:val="18"/>
          <w:szCs w:val="18"/>
        </w:rPr>
        <w:t xml:space="preserve"> ZV16 of vergelijkbaar) is niet toegestaan, de zonnepanelen dienen te allen tijde op een aparte groep te worden aangesloten;</w:t>
      </w:r>
    </w:p>
    <w:p w14:paraId="06B2C789" w14:textId="77777777" w:rsidR="00047F02" w:rsidRPr="00223935" w:rsidRDefault="00047F02" w:rsidP="00047F02">
      <w:pPr>
        <w:rPr>
          <w:rFonts w:cs="Arial"/>
          <w:sz w:val="18"/>
          <w:szCs w:val="18"/>
        </w:rPr>
      </w:pPr>
    </w:p>
    <w:p w14:paraId="139D91DD" w14:textId="77777777" w:rsidR="00047F02" w:rsidRPr="00574594" w:rsidRDefault="00047F02" w:rsidP="00047F02">
      <w:pPr>
        <w:rPr>
          <w:rFonts w:cs="Arial"/>
          <w:b/>
          <w:sz w:val="18"/>
          <w:szCs w:val="18"/>
        </w:rPr>
      </w:pPr>
      <w:r w:rsidRPr="00574594">
        <w:rPr>
          <w:rFonts w:cs="Arial"/>
          <w:b/>
          <w:sz w:val="18"/>
          <w:szCs w:val="18"/>
        </w:rPr>
        <w:t>Garanties</w:t>
      </w:r>
    </w:p>
    <w:p w14:paraId="1EF17C84" w14:textId="77777777" w:rsidR="00047F02" w:rsidRPr="00223935" w:rsidRDefault="00047F02" w:rsidP="00047F02">
      <w:pPr>
        <w:rPr>
          <w:rFonts w:cs="Arial"/>
          <w:sz w:val="18"/>
          <w:szCs w:val="18"/>
        </w:rPr>
      </w:pPr>
      <w:r w:rsidRPr="00223935">
        <w:rPr>
          <w:rFonts w:cs="Arial"/>
          <w:sz w:val="18"/>
          <w:szCs w:val="18"/>
        </w:rPr>
        <w:t xml:space="preserve">De prijs is vast voor de duur van het werk, wijzigingen in de markt (waaronder verstaan wordt in ieder geval doch niet uitsluitend importheffingen en valutakoersen) zijn voor Verkoper. Verkoper is verantwoordelijk voor de stabiliteit van het </w:t>
      </w:r>
      <w:proofErr w:type="spellStart"/>
      <w:r w:rsidRPr="00223935">
        <w:rPr>
          <w:rFonts w:cs="Arial"/>
          <w:sz w:val="18"/>
          <w:szCs w:val="18"/>
        </w:rPr>
        <w:t>pv-systeem</w:t>
      </w:r>
      <w:proofErr w:type="spellEnd"/>
      <w:r w:rsidRPr="00223935">
        <w:rPr>
          <w:rFonts w:cs="Arial"/>
          <w:sz w:val="18"/>
          <w:szCs w:val="18"/>
        </w:rPr>
        <w:t xml:space="preserve"> en de impact ervan op de gebouwstructuur.</w:t>
      </w:r>
    </w:p>
    <w:p w14:paraId="31429465" w14:textId="77777777" w:rsidR="00047F02" w:rsidRPr="00223935" w:rsidRDefault="00047F02" w:rsidP="00047F02">
      <w:pPr>
        <w:rPr>
          <w:rFonts w:cs="Arial"/>
          <w:sz w:val="18"/>
          <w:szCs w:val="18"/>
        </w:rPr>
      </w:pPr>
      <w:r w:rsidRPr="00223935">
        <w:rPr>
          <w:rFonts w:cs="Arial"/>
          <w:sz w:val="18"/>
          <w:szCs w:val="18"/>
        </w:rPr>
        <w:t>Verkoper geeft een opbrengstgarantie die de opbrengst van de totale installatie garandeert gedurende een periode van 1 jaar vanaf oplevering, en die garandeert dat de totale installatie gedurende het jaar na oplevering goed functioneert.  Deze opbrengstgarantie wordt als volgt uitgewerkt:</w:t>
      </w:r>
    </w:p>
    <w:p w14:paraId="6243A242" w14:textId="77777777" w:rsidR="002427EC" w:rsidRDefault="00B03688" w:rsidP="00047F02">
      <w:pPr>
        <w:pStyle w:val="Lijstalinea"/>
        <w:numPr>
          <w:ilvl w:val="0"/>
          <w:numId w:val="2"/>
        </w:numPr>
        <w:rPr>
          <w:rFonts w:cs="Arial"/>
          <w:sz w:val="18"/>
          <w:szCs w:val="18"/>
        </w:rPr>
      </w:pPr>
      <w:r w:rsidRPr="002427EC">
        <w:rPr>
          <w:rFonts w:cs="Arial"/>
          <w:sz w:val="18"/>
          <w:szCs w:val="18"/>
        </w:rPr>
        <w:lastRenderedPageBreak/>
        <w:t>Opdrachtgever</w:t>
      </w:r>
      <w:r w:rsidR="00047F02" w:rsidRPr="002427EC">
        <w:rPr>
          <w:rFonts w:cs="Arial"/>
          <w:sz w:val="18"/>
          <w:szCs w:val="18"/>
        </w:rPr>
        <w:t xml:space="preserve"> monitort de opbrengsten van systemen via het internet gedurende het eerste jaar, en zorgt ervoor dat </w:t>
      </w:r>
      <w:r w:rsidRPr="002427EC">
        <w:rPr>
          <w:rFonts w:cs="Arial"/>
          <w:sz w:val="18"/>
          <w:szCs w:val="18"/>
        </w:rPr>
        <w:t>Opdrachtgever</w:t>
      </w:r>
      <w:r w:rsidR="00047F02" w:rsidRPr="002427EC">
        <w:rPr>
          <w:rFonts w:cs="Arial"/>
          <w:sz w:val="18"/>
          <w:szCs w:val="18"/>
        </w:rPr>
        <w:t xml:space="preserve"> dit ook kan. Bij foutmeldingen neemt Verkoper proactief actie.</w:t>
      </w:r>
    </w:p>
    <w:p w14:paraId="57B4A753" w14:textId="77777777" w:rsidR="002427EC" w:rsidRDefault="00047F02" w:rsidP="00047F02">
      <w:pPr>
        <w:pStyle w:val="Lijstalinea"/>
        <w:numPr>
          <w:ilvl w:val="0"/>
          <w:numId w:val="2"/>
        </w:numPr>
        <w:rPr>
          <w:rFonts w:cs="Arial"/>
          <w:sz w:val="18"/>
          <w:szCs w:val="18"/>
        </w:rPr>
      </w:pPr>
      <w:r w:rsidRPr="002427EC">
        <w:rPr>
          <w:rFonts w:cs="Arial"/>
          <w:sz w:val="18"/>
          <w:szCs w:val="18"/>
        </w:rPr>
        <w:t>Verkoper garandeert een productie van minimaal 800 kwh per kwp in het eerste jaar. Als op enig moment blijkt dat de opbrengst achterloopt en/of er een duidelijk gebrek aan de installatie is (waaronder in ieder geval doch niet uitsluitend worden verstaan: omvormer stuk of verslechterd/</w:t>
      </w:r>
      <w:proofErr w:type="spellStart"/>
      <w:r w:rsidRPr="002427EC">
        <w:rPr>
          <w:rFonts w:cs="Arial"/>
          <w:sz w:val="18"/>
          <w:szCs w:val="18"/>
        </w:rPr>
        <w:t>delaminatie</w:t>
      </w:r>
      <w:proofErr w:type="spellEnd"/>
      <w:r w:rsidRPr="002427EC">
        <w:rPr>
          <w:rFonts w:cs="Arial"/>
          <w:sz w:val="18"/>
          <w:szCs w:val="18"/>
        </w:rPr>
        <w:t xml:space="preserve"> van panelen/losse contacten, meer herrie van de omvormer dan volgens specificaties), voert Verkoper op eigen kosten aanpassingswerkzaamheden uit teneinde de opbrengst op een permanente wijze alsnog te garanderen binnen 30 dagen.”</w:t>
      </w:r>
    </w:p>
    <w:p w14:paraId="488403D4" w14:textId="77777777" w:rsidR="00F34E00" w:rsidRDefault="00F34E00" w:rsidP="002427EC">
      <w:pPr>
        <w:rPr>
          <w:rFonts w:cs="Arial"/>
          <w:sz w:val="18"/>
          <w:szCs w:val="18"/>
        </w:rPr>
      </w:pPr>
      <w:r>
        <w:rPr>
          <w:rFonts w:cs="Arial"/>
          <w:sz w:val="18"/>
          <w:szCs w:val="18"/>
        </w:rPr>
        <w:t xml:space="preserve">Bij voorkeur doet Verkoper een voorstel voor monitoring en onderhoud met prestatiegarantie vanaf 1 jaar na installatie. </w:t>
      </w:r>
    </w:p>
    <w:p w14:paraId="0B93AC58" w14:textId="77777777" w:rsidR="00047F02" w:rsidRPr="002427EC" w:rsidRDefault="00047F02" w:rsidP="002427EC">
      <w:pPr>
        <w:rPr>
          <w:rFonts w:cs="Arial"/>
          <w:sz w:val="18"/>
          <w:szCs w:val="18"/>
        </w:rPr>
      </w:pPr>
      <w:r w:rsidRPr="002427EC">
        <w:rPr>
          <w:rFonts w:cs="Arial"/>
          <w:sz w:val="18"/>
          <w:szCs w:val="18"/>
        </w:rPr>
        <w:t>Verkoper garandeert installatie volgens:</w:t>
      </w:r>
    </w:p>
    <w:p w14:paraId="3B4754A8" w14:textId="77777777" w:rsidR="00047F02" w:rsidRPr="00223935" w:rsidRDefault="00047F02" w:rsidP="00047F02">
      <w:pPr>
        <w:rPr>
          <w:rFonts w:cs="Arial"/>
          <w:sz w:val="18"/>
          <w:szCs w:val="18"/>
        </w:rPr>
      </w:pPr>
      <w:proofErr w:type="spellStart"/>
      <w:r w:rsidRPr="00223935">
        <w:rPr>
          <w:rFonts w:cs="Arial"/>
          <w:sz w:val="18"/>
          <w:szCs w:val="18"/>
        </w:rPr>
        <w:t>Nen</w:t>
      </w:r>
      <w:proofErr w:type="spellEnd"/>
      <w:r w:rsidRPr="00223935">
        <w:rPr>
          <w:rFonts w:cs="Arial"/>
          <w:sz w:val="18"/>
          <w:szCs w:val="18"/>
        </w:rPr>
        <w:t xml:space="preserve"> 1010, NTA 8011, voorschriften van leveranciers;</w:t>
      </w:r>
    </w:p>
    <w:p w14:paraId="3A877CB6" w14:textId="77777777" w:rsidR="00047F02" w:rsidRPr="00223935" w:rsidRDefault="00047F02" w:rsidP="00047F02">
      <w:pPr>
        <w:rPr>
          <w:rFonts w:cs="Arial"/>
          <w:sz w:val="18"/>
          <w:szCs w:val="18"/>
        </w:rPr>
      </w:pPr>
      <w:r w:rsidRPr="00223935">
        <w:rPr>
          <w:rFonts w:cs="Arial"/>
          <w:sz w:val="18"/>
          <w:szCs w:val="18"/>
        </w:rPr>
        <w:t xml:space="preserve">Veilig werken o.b.v. NEN-EN 50110, NEN 3140, </w:t>
      </w:r>
      <w:proofErr w:type="spellStart"/>
      <w:r w:rsidRPr="00223935">
        <w:rPr>
          <w:rFonts w:cs="Arial"/>
          <w:sz w:val="18"/>
          <w:szCs w:val="18"/>
        </w:rPr>
        <w:t>arbo</w:t>
      </w:r>
      <w:proofErr w:type="spellEnd"/>
      <w:r w:rsidRPr="00223935">
        <w:rPr>
          <w:rFonts w:cs="Arial"/>
          <w:sz w:val="18"/>
          <w:szCs w:val="18"/>
        </w:rPr>
        <w:t xml:space="preserve"> a1-15 veilig werken op daken;</w:t>
      </w:r>
    </w:p>
    <w:p w14:paraId="7AC8171F" w14:textId="77777777" w:rsidR="00047F02" w:rsidRPr="00223935" w:rsidRDefault="00047F02" w:rsidP="00047F02">
      <w:pPr>
        <w:rPr>
          <w:rFonts w:cs="Arial"/>
          <w:sz w:val="18"/>
          <w:szCs w:val="18"/>
        </w:rPr>
      </w:pPr>
    </w:p>
    <w:p w14:paraId="692C0BA0" w14:textId="77777777" w:rsidR="00047F02" w:rsidRPr="00574594" w:rsidRDefault="00047F02" w:rsidP="00047F02">
      <w:pPr>
        <w:rPr>
          <w:rFonts w:cs="Arial"/>
          <w:b/>
          <w:sz w:val="18"/>
          <w:szCs w:val="18"/>
        </w:rPr>
      </w:pPr>
      <w:r w:rsidRPr="00574594">
        <w:rPr>
          <w:rFonts w:cs="Arial"/>
          <w:b/>
          <w:sz w:val="18"/>
          <w:szCs w:val="18"/>
        </w:rPr>
        <w:t>Oplevering en controle</w:t>
      </w:r>
    </w:p>
    <w:p w14:paraId="59C6F3A2" w14:textId="77777777" w:rsidR="00CA2A4E" w:rsidRPr="00F34E00" w:rsidRDefault="00047F02" w:rsidP="00F61D4D">
      <w:pPr>
        <w:rPr>
          <w:rFonts w:cs="Arial"/>
          <w:sz w:val="18"/>
          <w:szCs w:val="18"/>
        </w:rPr>
      </w:pPr>
      <w:r w:rsidRPr="00223935">
        <w:rPr>
          <w:rFonts w:cs="Arial"/>
          <w:sz w:val="18"/>
          <w:szCs w:val="18"/>
        </w:rPr>
        <w:t xml:space="preserve">Bij oplevering levert Verkoper legplan, draagkrachtstudie, windbelastingsstudie, specificaties van panelen en </w:t>
      </w:r>
      <w:r w:rsidRPr="00F34E00">
        <w:rPr>
          <w:rFonts w:cs="Arial"/>
          <w:sz w:val="18"/>
          <w:szCs w:val="18"/>
        </w:rPr>
        <w:t xml:space="preserve">omvormers, certificaten en garantievoorwaarden, lijst met serienummers van omvormers (welke is toegepast in welke woning), Voor de omvormer overlegt Verkoper stukken van de omvormer-leverancier waaruit blijkt dat deze een garantie van 10 jaar heeft  ten bate van </w:t>
      </w:r>
      <w:r w:rsidR="00B03688" w:rsidRPr="00F34E00">
        <w:rPr>
          <w:rFonts w:cs="Arial"/>
          <w:sz w:val="18"/>
          <w:szCs w:val="18"/>
        </w:rPr>
        <w:t>Opdrachtgever</w:t>
      </w:r>
      <w:r w:rsidRPr="00F34E00">
        <w:rPr>
          <w:rFonts w:cs="Arial"/>
          <w:sz w:val="18"/>
          <w:szCs w:val="18"/>
        </w:rPr>
        <w:t>.</w:t>
      </w:r>
    </w:p>
    <w:p w14:paraId="407D6704" w14:textId="77777777" w:rsidR="002427EC" w:rsidRPr="00F34E00" w:rsidRDefault="002427EC" w:rsidP="00F61D4D">
      <w:pPr>
        <w:rPr>
          <w:sz w:val="18"/>
          <w:szCs w:val="18"/>
        </w:rPr>
      </w:pPr>
      <w:r w:rsidRPr="00F34E00">
        <w:rPr>
          <w:sz w:val="18"/>
          <w:szCs w:val="18"/>
        </w:rPr>
        <w:t>Verkoper verleent zijn medewerking aan opleveringscontrole door Opdrachtgever danwel door Opdrachtgever ingeschakelde derden.</w:t>
      </w:r>
    </w:p>
    <w:sectPr w:rsidR="002427EC" w:rsidRPr="00F34E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1B2A" w14:textId="77777777" w:rsidR="00DA10E7" w:rsidRDefault="00DA10E7" w:rsidP="00737724">
      <w:pPr>
        <w:spacing w:line="240" w:lineRule="auto"/>
      </w:pPr>
      <w:r>
        <w:separator/>
      </w:r>
    </w:p>
  </w:endnote>
  <w:endnote w:type="continuationSeparator" w:id="0">
    <w:p w14:paraId="2EE7B895" w14:textId="77777777" w:rsidR="00DA10E7" w:rsidRDefault="00DA10E7" w:rsidP="00737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2613" w14:textId="77777777" w:rsidR="00DA10E7" w:rsidRDefault="00DA10E7" w:rsidP="00737724">
      <w:pPr>
        <w:spacing w:line="240" w:lineRule="auto"/>
      </w:pPr>
      <w:r>
        <w:separator/>
      </w:r>
    </w:p>
  </w:footnote>
  <w:footnote w:type="continuationSeparator" w:id="0">
    <w:p w14:paraId="7C5E41D7" w14:textId="77777777" w:rsidR="00DA10E7" w:rsidRDefault="00DA10E7" w:rsidP="00737724">
      <w:pPr>
        <w:spacing w:line="240" w:lineRule="auto"/>
      </w:pPr>
      <w:r>
        <w:continuationSeparator/>
      </w:r>
    </w:p>
  </w:footnote>
  <w:footnote w:id="1">
    <w:p w14:paraId="5DE0D584" w14:textId="77777777" w:rsidR="00737724" w:rsidRDefault="00737724">
      <w:pPr>
        <w:pStyle w:val="Voetnoottekst"/>
      </w:pPr>
      <w:r>
        <w:rPr>
          <w:rStyle w:val="Voetnootmarkering"/>
        </w:rPr>
        <w:footnoteRef/>
      </w:r>
      <w:r>
        <w:t xml:space="preserve"> </w:t>
      </w:r>
      <w:hyperlink r:id="rId1" w:history="1">
        <w:r>
          <w:rPr>
            <w:rStyle w:val="Hyperlink"/>
          </w:rPr>
          <w:t>https://www.rvo.nl/sites/default/files/2019/04/Brandincidenten%20met%20fotovoltaische%20PV%20systemen%20in%20Nederland.pdf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92F"/>
    <w:multiLevelType w:val="hybridMultilevel"/>
    <w:tmpl w:val="CDB05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576CB0"/>
    <w:multiLevelType w:val="hybridMultilevel"/>
    <w:tmpl w:val="E2B26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3A7506"/>
    <w:multiLevelType w:val="hybridMultilevel"/>
    <w:tmpl w:val="CD086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433A82"/>
    <w:multiLevelType w:val="multilevel"/>
    <w:tmpl w:val="71D69AB4"/>
    <w:lvl w:ilvl="0">
      <w:start w:val="1"/>
      <w:numFmt w:val="decimal"/>
      <w:pStyle w:val="Kop1"/>
      <w:lvlText w:val="%1"/>
      <w:lvlJc w:val="left"/>
      <w:pPr>
        <w:tabs>
          <w:tab w:val="num" w:pos="567"/>
        </w:tabs>
        <w:ind w:left="924" w:hanging="924"/>
      </w:pPr>
      <w:rPr>
        <w:rFonts w:ascii="Arial" w:hAnsi="Arial" w:hint="default"/>
        <w:b/>
        <w:i w:val="0"/>
        <w:color w:val="000000"/>
        <w:sz w:val="32"/>
        <w:szCs w:val="32"/>
      </w:rPr>
    </w:lvl>
    <w:lvl w:ilvl="1">
      <w:start w:val="1"/>
      <w:numFmt w:val="decimal"/>
      <w:pStyle w:val="Kop2"/>
      <w:lvlText w:val="%1.%2"/>
      <w:lvlJc w:val="left"/>
      <w:pPr>
        <w:tabs>
          <w:tab w:val="num" w:pos="1107"/>
        </w:tabs>
        <w:ind w:left="1464" w:hanging="924"/>
      </w:pPr>
      <w:rPr>
        <w:rFonts w:ascii="Arial" w:hAnsi="Arial" w:hint="default"/>
        <w:b/>
        <w:i w:val="0"/>
        <w:strike w:val="0"/>
        <w:sz w:val="20"/>
        <w:szCs w:val="20"/>
      </w:rPr>
    </w:lvl>
    <w:lvl w:ilvl="2">
      <w:start w:val="1"/>
      <w:numFmt w:val="decimal"/>
      <w:pStyle w:val="Kop3"/>
      <w:lvlText w:val="%1.%2.%3"/>
      <w:lvlJc w:val="left"/>
      <w:pPr>
        <w:tabs>
          <w:tab w:val="num" w:pos="924"/>
        </w:tabs>
        <w:ind w:left="1644" w:hanging="1644"/>
      </w:pPr>
      <w:rPr>
        <w:rFonts w:ascii="Arial" w:hAnsi="Arial" w:hint="default"/>
        <w:b/>
        <w:i w:val="0"/>
        <w:sz w:val="18"/>
        <w:szCs w:val="20"/>
      </w:rPr>
    </w:lvl>
    <w:lvl w:ilvl="3">
      <w:start w:val="1"/>
      <w:numFmt w:val="decimal"/>
      <w:pStyle w:val="Kop4"/>
      <w:lvlText w:val="%1.%2.%3.%4"/>
      <w:lvlJc w:val="left"/>
      <w:pPr>
        <w:tabs>
          <w:tab w:val="num" w:pos="507"/>
        </w:tabs>
        <w:ind w:left="507" w:hanging="864"/>
      </w:pPr>
      <w:rPr>
        <w:rFonts w:hint="default"/>
      </w:rPr>
    </w:lvl>
    <w:lvl w:ilvl="4">
      <w:start w:val="1"/>
      <w:numFmt w:val="decimal"/>
      <w:pStyle w:val="Kop5"/>
      <w:lvlText w:val="%1.%2.%3.%4.%5"/>
      <w:lvlJc w:val="left"/>
      <w:pPr>
        <w:tabs>
          <w:tab w:val="num" w:pos="651"/>
        </w:tabs>
        <w:ind w:left="651" w:hanging="1008"/>
      </w:pPr>
      <w:rPr>
        <w:rFonts w:hint="default"/>
      </w:rPr>
    </w:lvl>
    <w:lvl w:ilvl="5">
      <w:start w:val="1"/>
      <w:numFmt w:val="decimal"/>
      <w:pStyle w:val="Kop6"/>
      <w:lvlText w:val="%1.%2.%3.%4.%5.%6"/>
      <w:lvlJc w:val="left"/>
      <w:pPr>
        <w:tabs>
          <w:tab w:val="num" w:pos="795"/>
        </w:tabs>
        <w:ind w:left="795" w:hanging="1152"/>
      </w:pPr>
      <w:rPr>
        <w:rFonts w:hint="default"/>
      </w:rPr>
    </w:lvl>
    <w:lvl w:ilvl="6">
      <w:start w:val="1"/>
      <w:numFmt w:val="decimal"/>
      <w:pStyle w:val="Kop7"/>
      <w:lvlText w:val="%1.%2.%3.%4.%5.%6.%7"/>
      <w:lvlJc w:val="left"/>
      <w:pPr>
        <w:tabs>
          <w:tab w:val="num" w:pos="939"/>
        </w:tabs>
        <w:ind w:left="939" w:hanging="1296"/>
      </w:pPr>
      <w:rPr>
        <w:rFonts w:hint="default"/>
      </w:rPr>
    </w:lvl>
    <w:lvl w:ilvl="7">
      <w:start w:val="1"/>
      <w:numFmt w:val="decimal"/>
      <w:pStyle w:val="Kop8"/>
      <w:lvlText w:val="%1.%2.%3.%4.%5.%6.%7.%8"/>
      <w:lvlJc w:val="left"/>
      <w:pPr>
        <w:tabs>
          <w:tab w:val="num" w:pos="1083"/>
        </w:tabs>
        <w:ind w:left="1083" w:hanging="1440"/>
      </w:pPr>
      <w:rPr>
        <w:rFonts w:hint="default"/>
      </w:rPr>
    </w:lvl>
    <w:lvl w:ilvl="8">
      <w:start w:val="1"/>
      <w:numFmt w:val="decimal"/>
      <w:pStyle w:val="Kop9"/>
      <w:lvlText w:val="%1.%2.%3.%4.%5.%6.%7.%8.%9"/>
      <w:lvlJc w:val="left"/>
      <w:pPr>
        <w:tabs>
          <w:tab w:val="num" w:pos="1227"/>
        </w:tabs>
        <w:ind w:left="1227" w:hanging="1584"/>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02"/>
    <w:rsid w:val="000259EC"/>
    <w:rsid w:val="00047F02"/>
    <w:rsid w:val="0005287C"/>
    <w:rsid w:val="000F317C"/>
    <w:rsid w:val="000F4531"/>
    <w:rsid w:val="001B7E20"/>
    <w:rsid w:val="001E18CD"/>
    <w:rsid w:val="002071E4"/>
    <w:rsid w:val="002427EC"/>
    <w:rsid w:val="0028794E"/>
    <w:rsid w:val="003B3D47"/>
    <w:rsid w:val="003C5627"/>
    <w:rsid w:val="00414C92"/>
    <w:rsid w:val="004A277D"/>
    <w:rsid w:val="0054278A"/>
    <w:rsid w:val="00581196"/>
    <w:rsid w:val="00615DDE"/>
    <w:rsid w:val="006238FE"/>
    <w:rsid w:val="00697137"/>
    <w:rsid w:val="00737724"/>
    <w:rsid w:val="00860CF4"/>
    <w:rsid w:val="008D4E89"/>
    <w:rsid w:val="00917661"/>
    <w:rsid w:val="009932F8"/>
    <w:rsid w:val="009D4C9D"/>
    <w:rsid w:val="00AA1250"/>
    <w:rsid w:val="00AA53A6"/>
    <w:rsid w:val="00AF3D1F"/>
    <w:rsid w:val="00B00920"/>
    <w:rsid w:val="00B03688"/>
    <w:rsid w:val="00B746FD"/>
    <w:rsid w:val="00B96F1E"/>
    <w:rsid w:val="00CA2A4E"/>
    <w:rsid w:val="00CB0786"/>
    <w:rsid w:val="00CB7066"/>
    <w:rsid w:val="00D93527"/>
    <w:rsid w:val="00DA10E7"/>
    <w:rsid w:val="00DA2F26"/>
    <w:rsid w:val="00E62C02"/>
    <w:rsid w:val="00F258B6"/>
    <w:rsid w:val="00F34E00"/>
    <w:rsid w:val="00F401DE"/>
    <w:rsid w:val="00F544EF"/>
    <w:rsid w:val="00F61D4D"/>
    <w:rsid w:val="00FA3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30B"/>
  <w15:chartTrackingRefBased/>
  <w15:docId w15:val="{66636DA0-C114-4D15-9BD2-35923BF0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Arial"/>
        <w:color w:val="0563C1" w:themeColor="hyperlink"/>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47F02"/>
    <w:pPr>
      <w:spacing w:after="0" w:line="300" w:lineRule="atLeast"/>
      <w:jc w:val="both"/>
    </w:pPr>
    <w:rPr>
      <w:rFonts w:ascii="Arial" w:eastAsia="Times New Roman" w:hAnsi="Arial" w:cs="Times New Roman"/>
      <w:color w:val="auto"/>
      <w:szCs w:val="24"/>
      <w:lang w:eastAsia="nl-NL"/>
    </w:rPr>
  </w:style>
  <w:style w:type="paragraph" w:styleId="Kop1">
    <w:name w:val="heading 1"/>
    <w:basedOn w:val="Standaard"/>
    <w:next w:val="Standaard"/>
    <w:link w:val="Kop1Char"/>
    <w:uiPriority w:val="99"/>
    <w:qFormat/>
    <w:rsid w:val="00047F02"/>
    <w:pPr>
      <w:keepNext/>
      <w:numPr>
        <w:numId w:val="1"/>
      </w:numPr>
      <w:spacing w:before="240" w:after="60"/>
      <w:outlineLvl w:val="0"/>
    </w:pPr>
    <w:rPr>
      <w:rFonts w:cs="Arial"/>
      <w:b/>
      <w:bCs/>
      <w:kern w:val="32"/>
      <w:sz w:val="32"/>
      <w:szCs w:val="32"/>
    </w:rPr>
  </w:style>
  <w:style w:type="paragraph" w:styleId="Kop2">
    <w:name w:val="heading 2"/>
    <w:basedOn w:val="Standaard"/>
    <w:next w:val="Standaard"/>
    <w:link w:val="Kop2Char"/>
    <w:uiPriority w:val="99"/>
    <w:qFormat/>
    <w:rsid w:val="00047F02"/>
    <w:pPr>
      <w:keepNext/>
      <w:numPr>
        <w:ilvl w:val="1"/>
        <w:numId w:val="1"/>
      </w:numPr>
      <w:spacing w:before="240" w:after="60"/>
      <w:outlineLvl w:val="1"/>
    </w:pPr>
    <w:rPr>
      <w:rFonts w:cs="Arial"/>
      <w:b/>
      <w:bCs/>
      <w:iCs/>
      <w:szCs w:val="28"/>
    </w:rPr>
  </w:style>
  <w:style w:type="paragraph" w:styleId="Kop3">
    <w:name w:val="heading 3"/>
    <w:basedOn w:val="Standaard"/>
    <w:next w:val="Standaard"/>
    <w:link w:val="Kop3Char"/>
    <w:uiPriority w:val="99"/>
    <w:qFormat/>
    <w:rsid w:val="00047F02"/>
    <w:pPr>
      <w:keepNext/>
      <w:numPr>
        <w:ilvl w:val="2"/>
        <w:numId w:val="1"/>
      </w:numPr>
      <w:spacing w:before="240" w:after="60"/>
      <w:outlineLvl w:val="2"/>
    </w:pPr>
    <w:rPr>
      <w:rFonts w:cs="Arial"/>
      <w:b/>
      <w:bCs/>
      <w:i/>
      <w:sz w:val="18"/>
      <w:szCs w:val="26"/>
    </w:rPr>
  </w:style>
  <w:style w:type="paragraph" w:styleId="Kop4">
    <w:name w:val="heading 4"/>
    <w:basedOn w:val="Standaard"/>
    <w:next w:val="Standaard"/>
    <w:link w:val="Kop4Char"/>
    <w:uiPriority w:val="99"/>
    <w:qFormat/>
    <w:rsid w:val="00047F02"/>
    <w:pPr>
      <w:keepNext/>
      <w:numPr>
        <w:ilvl w:val="3"/>
        <w:numId w:val="1"/>
      </w:numPr>
      <w:spacing w:before="240" w:after="60"/>
      <w:outlineLvl w:val="3"/>
    </w:pPr>
    <w:rPr>
      <w:bCs/>
      <w:sz w:val="18"/>
      <w:szCs w:val="28"/>
      <w:u w:val="single"/>
    </w:rPr>
  </w:style>
  <w:style w:type="paragraph" w:styleId="Kop5">
    <w:name w:val="heading 5"/>
    <w:basedOn w:val="Standaard"/>
    <w:next w:val="Standaard"/>
    <w:link w:val="Kop5Char"/>
    <w:uiPriority w:val="99"/>
    <w:qFormat/>
    <w:rsid w:val="00047F02"/>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9"/>
    <w:qFormat/>
    <w:rsid w:val="00047F02"/>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9"/>
    <w:qFormat/>
    <w:rsid w:val="00047F02"/>
    <w:pPr>
      <w:numPr>
        <w:ilvl w:val="6"/>
        <w:numId w:val="1"/>
      </w:numPr>
      <w:spacing w:before="240" w:after="60"/>
      <w:outlineLvl w:val="6"/>
    </w:pPr>
  </w:style>
  <w:style w:type="paragraph" w:styleId="Kop8">
    <w:name w:val="heading 8"/>
    <w:basedOn w:val="Standaard"/>
    <w:next w:val="Standaard"/>
    <w:link w:val="Kop8Char"/>
    <w:uiPriority w:val="99"/>
    <w:qFormat/>
    <w:rsid w:val="00047F02"/>
    <w:pPr>
      <w:numPr>
        <w:ilvl w:val="7"/>
        <w:numId w:val="1"/>
      </w:numPr>
      <w:spacing w:before="240" w:after="60"/>
      <w:outlineLvl w:val="7"/>
    </w:pPr>
    <w:rPr>
      <w:i/>
      <w:iCs/>
    </w:rPr>
  </w:style>
  <w:style w:type="paragraph" w:styleId="Kop9">
    <w:name w:val="heading 9"/>
    <w:basedOn w:val="Standaard"/>
    <w:next w:val="Standaard"/>
    <w:link w:val="Kop9Char"/>
    <w:uiPriority w:val="99"/>
    <w:qFormat/>
    <w:rsid w:val="00047F02"/>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47F02"/>
    <w:rPr>
      <w:rFonts w:ascii="Arial" w:eastAsia="Times New Roman" w:hAnsi="Arial"/>
      <w:b/>
      <w:bCs/>
      <w:color w:val="auto"/>
      <w:kern w:val="32"/>
      <w:sz w:val="32"/>
      <w:szCs w:val="32"/>
      <w:lang w:eastAsia="nl-NL"/>
    </w:rPr>
  </w:style>
  <w:style w:type="character" w:customStyle="1" w:styleId="Kop2Char">
    <w:name w:val="Kop 2 Char"/>
    <w:basedOn w:val="Standaardalinea-lettertype"/>
    <w:link w:val="Kop2"/>
    <w:uiPriority w:val="99"/>
    <w:rsid w:val="00047F02"/>
    <w:rPr>
      <w:rFonts w:ascii="Arial" w:eastAsia="Times New Roman" w:hAnsi="Arial"/>
      <w:b/>
      <w:bCs/>
      <w:iCs/>
      <w:color w:val="auto"/>
      <w:szCs w:val="28"/>
      <w:lang w:eastAsia="nl-NL"/>
    </w:rPr>
  </w:style>
  <w:style w:type="character" w:customStyle="1" w:styleId="Kop3Char">
    <w:name w:val="Kop 3 Char"/>
    <w:basedOn w:val="Standaardalinea-lettertype"/>
    <w:link w:val="Kop3"/>
    <w:uiPriority w:val="99"/>
    <w:rsid w:val="00047F02"/>
    <w:rPr>
      <w:rFonts w:ascii="Arial" w:eastAsia="Times New Roman" w:hAnsi="Arial"/>
      <w:b/>
      <w:bCs/>
      <w:i/>
      <w:color w:val="auto"/>
      <w:sz w:val="18"/>
      <w:szCs w:val="26"/>
      <w:lang w:eastAsia="nl-NL"/>
    </w:rPr>
  </w:style>
  <w:style w:type="character" w:customStyle="1" w:styleId="Kop4Char">
    <w:name w:val="Kop 4 Char"/>
    <w:basedOn w:val="Standaardalinea-lettertype"/>
    <w:link w:val="Kop4"/>
    <w:uiPriority w:val="99"/>
    <w:rsid w:val="00047F02"/>
    <w:rPr>
      <w:rFonts w:ascii="Arial" w:eastAsia="Times New Roman" w:hAnsi="Arial" w:cs="Times New Roman"/>
      <w:bCs/>
      <w:color w:val="auto"/>
      <w:sz w:val="18"/>
      <w:szCs w:val="28"/>
      <w:u w:val="single"/>
      <w:lang w:eastAsia="nl-NL"/>
    </w:rPr>
  </w:style>
  <w:style w:type="character" w:customStyle="1" w:styleId="Kop5Char">
    <w:name w:val="Kop 5 Char"/>
    <w:basedOn w:val="Standaardalinea-lettertype"/>
    <w:link w:val="Kop5"/>
    <w:uiPriority w:val="99"/>
    <w:rsid w:val="00047F02"/>
    <w:rPr>
      <w:rFonts w:ascii="Arial" w:eastAsia="Times New Roman" w:hAnsi="Arial" w:cs="Times New Roman"/>
      <w:b/>
      <w:bCs/>
      <w:i/>
      <w:iCs/>
      <w:color w:val="auto"/>
      <w:sz w:val="26"/>
      <w:szCs w:val="26"/>
      <w:lang w:eastAsia="nl-NL"/>
    </w:rPr>
  </w:style>
  <w:style w:type="character" w:customStyle="1" w:styleId="Kop6Char">
    <w:name w:val="Kop 6 Char"/>
    <w:basedOn w:val="Standaardalinea-lettertype"/>
    <w:link w:val="Kop6"/>
    <w:uiPriority w:val="99"/>
    <w:rsid w:val="00047F02"/>
    <w:rPr>
      <w:rFonts w:ascii="Arial" w:eastAsia="Times New Roman" w:hAnsi="Arial" w:cs="Times New Roman"/>
      <w:b/>
      <w:bCs/>
      <w:color w:val="auto"/>
      <w:sz w:val="22"/>
      <w:lang w:eastAsia="nl-NL"/>
    </w:rPr>
  </w:style>
  <w:style w:type="character" w:customStyle="1" w:styleId="Kop7Char">
    <w:name w:val="Kop 7 Char"/>
    <w:basedOn w:val="Standaardalinea-lettertype"/>
    <w:link w:val="Kop7"/>
    <w:uiPriority w:val="99"/>
    <w:rsid w:val="00047F02"/>
    <w:rPr>
      <w:rFonts w:ascii="Arial" w:eastAsia="Times New Roman" w:hAnsi="Arial" w:cs="Times New Roman"/>
      <w:color w:val="auto"/>
      <w:szCs w:val="24"/>
      <w:lang w:eastAsia="nl-NL"/>
    </w:rPr>
  </w:style>
  <w:style w:type="character" w:customStyle="1" w:styleId="Kop8Char">
    <w:name w:val="Kop 8 Char"/>
    <w:basedOn w:val="Standaardalinea-lettertype"/>
    <w:link w:val="Kop8"/>
    <w:uiPriority w:val="99"/>
    <w:rsid w:val="00047F02"/>
    <w:rPr>
      <w:rFonts w:ascii="Arial" w:eastAsia="Times New Roman" w:hAnsi="Arial" w:cs="Times New Roman"/>
      <w:i/>
      <w:iCs/>
      <w:color w:val="auto"/>
      <w:szCs w:val="24"/>
      <w:lang w:eastAsia="nl-NL"/>
    </w:rPr>
  </w:style>
  <w:style w:type="character" w:customStyle="1" w:styleId="Kop9Char">
    <w:name w:val="Kop 9 Char"/>
    <w:basedOn w:val="Standaardalinea-lettertype"/>
    <w:link w:val="Kop9"/>
    <w:uiPriority w:val="99"/>
    <w:rsid w:val="00047F02"/>
    <w:rPr>
      <w:rFonts w:ascii="Arial" w:eastAsia="Times New Roman" w:hAnsi="Arial"/>
      <w:color w:val="auto"/>
      <w:sz w:val="22"/>
      <w:lang w:eastAsia="nl-NL"/>
    </w:rPr>
  </w:style>
  <w:style w:type="character" w:styleId="Hyperlink">
    <w:name w:val="Hyperlink"/>
    <w:basedOn w:val="Standaardalinea-lettertype"/>
    <w:uiPriority w:val="99"/>
    <w:rsid w:val="00047F02"/>
    <w:rPr>
      <w:color w:val="0000FF"/>
      <w:u w:val="single"/>
    </w:rPr>
  </w:style>
  <w:style w:type="paragraph" w:styleId="Lijstalinea">
    <w:name w:val="List Paragraph"/>
    <w:basedOn w:val="Standaard"/>
    <w:uiPriority w:val="34"/>
    <w:qFormat/>
    <w:rsid w:val="008D4E89"/>
    <w:pPr>
      <w:ind w:left="720"/>
      <w:contextualSpacing/>
    </w:pPr>
  </w:style>
  <w:style w:type="paragraph" w:styleId="Ballontekst">
    <w:name w:val="Balloon Text"/>
    <w:basedOn w:val="Standaard"/>
    <w:link w:val="BallontekstChar"/>
    <w:uiPriority w:val="99"/>
    <w:semiHidden/>
    <w:unhideWhenUsed/>
    <w:rsid w:val="008D4E8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4E89"/>
    <w:rPr>
      <w:rFonts w:ascii="Segoe UI" w:eastAsia="Times New Roman" w:hAnsi="Segoe UI" w:cs="Segoe UI"/>
      <w:color w:val="auto"/>
      <w:sz w:val="18"/>
      <w:szCs w:val="18"/>
      <w:lang w:eastAsia="nl-NL"/>
    </w:rPr>
  </w:style>
  <w:style w:type="character" w:styleId="Onopgelostemelding">
    <w:name w:val="Unresolved Mention"/>
    <w:basedOn w:val="Standaardalinea-lettertype"/>
    <w:uiPriority w:val="99"/>
    <w:semiHidden/>
    <w:unhideWhenUsed/>
    <w:rsid w:val="00B03688"/>
    <w:rPr>
      <w:color w:val="605E5C"/>
      <w:shd w:val="clear" w:color="auto" w:fill="E1DFDD"/>
    </w:rPr>
  </w:style>
  <w:style w:type="paragraph" w:styleId="Voetnoottekst">
    <w:name w:val="footnote text"/>
    <w:basedOn w:val="Standaard"/>
    <w:link w:val="VoetnoottekstChar"/>
    <w:uiPriority w:val="99"/>
    <w:semiHidden/>
    <w:unhideWhenUsed/>
    <w:rsid w:val="00737724"/>
    <w:pPr>
      <w:spacing w:line="240" w:lineRule="auto"/>
    </w:pPr>
    <w:rPr>
      <w:szCs w:val="20"/>
    </w:rPr>
  </w:style>
  <w:style w:type="character" w:customStyle="1" w:styleId="VoetnoottekstChar">
    <w:name w:val="Voetnoottekst Char"/>
    <w:basedOn w:val="Standaardalinea-lettertype"/>
    <w:link w:val="Voetnoottekst"/>
    <w:uiPriority w:val="99"/>
    <w:semiHidden/>
    <w:rsid w:val="00737724"/>
    <w:rPr>
      <w:rFonts w:ascii="Arial" w:eastAsia="Times New Roman" w:hAnsi="Arial" w:cs="Times New Roman"/>
      <w:color w:val="auto"/>
      <w:szCs w:val="20"/>
      <w:lang w:eastAsia="nl-NL"/>
    </w:rPr>
  </w:style>
  <w:style w:type="character" w:styleId="Voetnootmarkering">
    <w:name w:val="footnote reference"/>
    <w:basedOn w:val="Standaardalinea-lettertype"/>
    <w:uiPriority w:val="99"/>
    <w:semiHidden/>
    <w:unhideWhenUsed/>
    <w:rsid w:val="00737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nighur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crg.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sites/default/files/2019/04/Brandincidenten%20met%20fotovoltaische%20PV%20systemen%20in%20Nederlan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CD9C-1BE5-48B4-A47A-41DB4C5E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Bouwinvest</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Dekkers, Eric-Jan</dc:creator>
  <cp:keywords/>
  <dc:description/>
  <cp:lastModifiedBy>Maarten Corpeleijn</cp:lastModifiedBy>
  <cp:revision>2</cp:revision>
  <dcterms:created xsi:type="dcterms:W3CDTF">2019-09-04T14:35:00Z</dcterms:created>
  <dcterms:modified xsi:type="dcterms:W3CDTF">2019-09-04T14:35:00Z</dcterms:modified>
</cp:coreProperties>
</file>